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Retificação Nº 002/2023 da Resolução editalícia nº 002/2023</w:t>
      </w:r>
    </w:p>
    <w:p>
      <w:pPr>
        <w:spacing w:before="0" w:after="160" w:line="259"/>
        <w:ind w:right="-67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-409" w:left="-141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Presidente do Conselho Municipal dos Direitos da Criança e Adolescente de Caçapava do Sul, Lígia Maria de Oliveira, no uso de suas atribuições legais, torna público a retificação do edital nº 002/23, publicado em 03 de abril de 2023, agora incluindo as datas da avaliação psicológica, do resultado, incluindo as datas com os prazos para recursos da avaliação e respostas nos itens 17 e 18, alterando o item 17 para 19 e assim por diante, juntamente com as novas datas do anexo I - Cronograma de datas, que agora, para todos os fins, fica da seguinte forma: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ANEXO I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CONSELHO MUNICIPAL DOS DIREITOS DA CRIANÇA E DO ADOLESCENTE</w:t>
      </w:r>
    </w:p>
    <w:p>
      <w:pPr>
        <w:tabs>
          <w:tab w:val="left" w:pos="1971" w:leader="none"/>
          <w:tab w:val="left" w:pos="2733" w:leader="none"/>
          <w:tab w:val="left" w:pos="4043" w:leader="none"/>
        </w:tabs>
        <w:spacing w:before="55" w:after="120" w:line="259"/>
        <w:ind w:right="19" w:left="0" w:firstLine="0"/>
        <w:jc w:val="center"/>
        <w:rPr>
          <w:rFonts w:ascii="Arial" w:hAnsi="Arial" w:cs="Arial" w:eastAsia="Arial"/>
          <w:color w:val="231F2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31F20"/>
          <w:spacing w:val="0"/>
          <w:position w:val="0"/>
          <w:sz w:val="22"/>
          <w:shd w:fill="auto" w:val="clear"/>
        </w:rPr>
        <w:t xml:space="preserve">Cronograma de datas.</w:t>
      </w:r>
    </w:p>
    <w:tbl>
      <w:tblPr/>
      <w:tblGrid>
        <w:gridCol w:w="960"/>
        <w:gridCol w:w="5880"/>
        <w:gridCol w:w="2340"/>
      </w:tblGrid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Publicação do Edital de abertura do processo de inscrição e eleição de candidatos ao Conselho Tutelar.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03/04/2023</w:t>
            </w:r>
          </w:p>
        </w:tc>
      </w:tr>
      <w:tr>
        <w:trPr>
          <w:trHeight w:val="493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Período de inscrição de candidaturas.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06/04 a 05/05/2023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das inscrições deferidas e indeferidas.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11/05/2023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notificação das inscrições indeferidas.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12/05 a 16/05/2023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de interposição de recursos ao deferimento ou indeferimento das inscrições.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17/05 a 19/05/2023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julgamento dos recursos.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22/05 a 24/05/2023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07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do julgamento dos recursos.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25/05/2023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das inscrições homologadas.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31/05/2023</w:t>
            </w:r>
          </w:p>
        </w:tc>
      </w:tr>
      <w:tr>
        <w:trPr>
          <w:trHeight w:val="505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Data da realização da prova de conhecimento.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01/07/2023</w:t>
            </w:r>
          </w:p>
        </w:tc>
      </w:tr>
      <w:tr>
        <w:trPr>
          <w:trHeight w:val="524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do gabarito.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03/07/2023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do resultado após correção.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05/07/2023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interposição de recursos relativos à aplicação da prova de conhecimento.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06/07 a 10/07/2023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julgamento do recurso.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11/07 a 13/07/2023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do julgamento definitivo de recurso.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14/07/2023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Avaliação psicológica.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10/08/2023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da avaliação psicológica.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11/08/2023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recurso da avaliação psicológica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14/08/2023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Resposta de recursos da avaliação psicológica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15/08/2023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Edital com a lista definitiva dos candidatos classificados para participarem da eleição.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16/08/2023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Realização da reunião para os candidatos habilitados.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16/08/2023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Período da campanha eleitoral.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16/08 a 30/09/2023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Dia da Eleição.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01/10/2023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Divulgação de edital preliminar com o resultado da eleição.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01/10/2023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interposição de recursos relativos a fatos ocorridos no dia da eleição dos candidatos.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02/10 a 04/10/2023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Prazo para julgamento dos recursos relativos a fatos ocorridos no dia da eleição dos candidatos.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05/10 a 09/10/2023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Edital com o resultado definitivo do pleito da Eleição.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10/10/2023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Capacitação presencial aos eleitos e suplentes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A definir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5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Diplomação e posse dos candidatos eleitos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971" w:leader="none"/>
                <w:tab w:val="left" w:pos="2733" w:leader="none"/>
                <w:tab w:val="left" w:pos="4043" w:leader="none"/>
              </w:tabs>
              <w:spacing w:before="55" w:after="120" w:line="259"/>
              <w:ind w:right="1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31F20"/>
                <w:spacing w:val="0"/>
                <w:position w:val="0"/>
                <w:sz w:val="20"/>
                <w:shd w:fill="auto" w:val="clear"/>
              </w:rPr>
              <w:t xml:space="preserve">10/01/2024</w:t>
            </w:r>
          </w:p>
        </w:tc>
      </w:tr>
    </w:tbl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______________________________________________</w: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Presidente da Conselho Municipal dos Direitos da Criança e do Adolescente</w: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Caçapava do Sul/RS, 03 de agosto de 2023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