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EDITAL </w:t>
      </w:r>
      <w:r>
        <w:rPr>
          <w:rFonts w:eastAsia="Times New Roman"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Nº.</w:t>
      </w:r>
      <w:r>
        <w:rPr>
          <w:rFonts w:eastAsia="Times New Roman"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3785</w:t>
      </w:r>
      <w:r>
        <w:rPr>
          <w:rFonts w:eastAsia="Times New Roman"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/2025 - </w:t>
      </w: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INEXIGIBILIDADE DE CHAMAMENTO PÚBLICO</w:t>
      </w:r>
    </w:p>
    <w:p>
      <w:pPr>
        <w:pStyle w:val="Corpodotexto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EMENDAS PARLAMENTARES DO MUNICÍPIO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SECRETARIA DE MUNICÍPIO DA EDUCAÇÃO, ESPORTE E LAZER</w:t>
      </w: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  <w:highlight w:val="yellow"/>
        </w:rPr>
        <w:t xml:space="preserve"> 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REFERÊNCIA – 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Inexigibilidade de Chamamento Público – Repasse ao 3º setor. </w:t>
      </w:r>
    </w:p>
    <w:p>
      <w:pPr>
        <w:pStyle w:val="Corpodotexto"/>
        <w:widowControl/>
        <w:spacing w:lineRule="auto" w:line="240" w:before="0" w:after="0"/>
        <w:jc w:val="both"/>
        <w:rPr>
          <w:rFonts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BASE LEGAL –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 Artigo 29, 31 e 32 da Lei 13.019 de 31/07/2014 – alterada pela Lei 13.204/2015, Decreto Municipal nº.3807/2017,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>Emenda à Lei Orgânica Municipal nº.016/2020, Lei de Diretrizes Orçamentária Lei nº.4.703 de 14/11/2024 e Decreto Municipal nº.5.780/2025.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OSC: 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Associação Caçapavana de Futsal 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CNPJ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: 24.355.297/0001-76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>ENDEREÇO: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 xml:space="preserve"> Av. Getúlio Vargas, nº.140 – Bairro: Centro - Caçapava do Sul/RS – CEP: 96570-000</w:t>
      </w:r>
    </w:p>
    <w:p>
      <w:pPr>
        <w:pStyle w:val="Corpodotexto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OBJETO: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 xml:space="preserve">Apoio a entidade da área esportiva para desenvolver e fomentar a prática esportiva através de recursos de Emendas Impositivas à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>Lei Orçamentária Anual do Município de Caçapava do Sul no exercício de 2025.</w:t>
      </w:r>
    </w:p>
    <w:p>
      <w:pPr>
        <w:pStyle w:val="Corpodotexto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FONTE DE RECURSOS: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Órgão: 09 – Secretaria de Município da Educação, Esporte e Lazer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Unidade Orçamentária: 09.09 – Conselho Municipal do Desporto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Funcional: 27.812.0106 – Desporto e Lazer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Projeto Atividade: 0006000 – Apoio financeiro para escolinhas e associações esportivas   Natureza da Despesa: 3.3.50.43.00 – Subvenções Sociais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Reduzido: 6633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Fonte de Recurso: 1500 - Recursos não Vinculados de Impostos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Detalhamento da Fonte: 0200 - Emenda Parlamentar de Bancada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sz w:val="24"/>
          <w:szCs w:val="24"/>
        </w:rPr>
      </w:pPr>
      <w:r>
        <w:rPr>
          <w:rFonts w:cs="Liberation Serif;Times New Roman"/>
          <w:b w:val="false"/>
          <w:bCs w:val="false"/>
          <w:sz w:val="24"/>
          <w:szCs w:val="24"/>
        </w:rPr>
      </w:r>
    </w:p>
    <w:tbl>
      <w:tblPr>
        <w:tblW w:w="8900" w:type="dxa"/>
        <w:jc w:val="left"/>
        <w:tblInd w:w="5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1365"/>
        <w:gridCol w:w="1425"/>
        <w:gridCol w:w="1409"/>
        <w:gridCol w:w="1425"/>
        <w:gridCol w:w="1593"/>
        <w:gridCol w:w="1682"/>
      </w:tblGrid>
      <w:tr>
        <w:trPr/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Bancada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Emenda Nº.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Objeto</w:t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Despesa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Reduzido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Requisição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Repasse</w:t>
            </w:r>
          </w:p>
        </w:tc>
      </w:tr>
      <w:tr>
        <w:trPr/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PP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20/2024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146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6633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203/2025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szCs w:val="24"/>
                <w:u w:val="none"/>
              </w:rPr>
              <w:t>R$28.042,83</w:t>
            </w:r>
          </w:p>
        </w:tc>
      </w:tr>
    </w:tbl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FONTE DE RECURSOS: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Órgão: 09 – Secretaria de Município da Educação, Esporte e Lazer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Unidade Orçamentária: 09.09 – Conselho Municipal do Desporto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Funcional: 27.812.0106 – Desporto e Lazer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Projeto Atividade: 0006000 – Apoio financeiro para escolinhas e associações esportivas   Natureza da Despesa: 3.3.50.41.00 – Contribuições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Reduzido: 8334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Fonte de Recurso: 1500 - Recursos não Vinculados de Impostos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Detalhamento da Fonte: 0100 - Emenda Parlamentar Individual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sz w:val="24"/>
          <w:szCs w:val="24"/>
        </w:rPr>
      </w:pPr>
      <w:r>
        <w:rPr>
          <w:rFonts w:cs="Liberation Serif;Times New Roman"/>
          <w:b w:val="false"/>
          <w:bCs w:val="false"/>
          <w:sz w:val="24"/>
          <w:szCs w:val="24"/>
        </w:rPr>
      </w:r>
    </w:p>
    <w:tbl>
      <w:tblPr>
        <w:tblW w:w="9058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1700"/>
        <w:gridCol w:w="1588"/>
        <w:gridCol w:w="1362"/>
        <w:gridCol w:w="1186"/>
        <w:gridCol w:w="1587"/>
        <w:gridCol w:w="1634"/>
      </w:tblGrid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Vereador(a)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Emenda</w:t>
            </w:r>
          </w:p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Nº.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Objeto</w:t>
            </w:r>
          </w:p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Despesa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Reduzido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Requisição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Repasse</w:t>
            </w:r>
          </w:p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Zilmar Araújo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58/2024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141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8334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205/2025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both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R$10.000,00</w:t>
            </w:r>
          </w:p>
        </w:tc>
      </w:tr>
    </w:tbl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TOTAL DO VALOR DO REPASSE: 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R$38.042,83 (trinta e oito mil, quarenta e dois reais e oitenta e três centavos),</w:t>
      </w: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a ser pago através do valor imposto pelas emendas acima relacionadas e de acordo com a programação orçamentária da Secretaria responsável pela transferência e aos cronogramas de desembolso dos planos de trabalho da entidade beneficiária.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 xml:space="preserve">TIPO DE PARCERIA: 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Termo de Fomento/Colaboração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PERÍODO DE EXECUÇÃO: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Da data de assinatura da celebração da parceria até 31/12/2025.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JUSTIFICATIVA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cs="Liberation Serif;Times New Roman"/>
          <w:b/>
          <w:bCs/>
          <w:caps w:val="false"/>
          <w:smallCaps w:val="false"/>
          <w:color w:val="auto"/>
          <w:spacing w:val="0"/>
          <w:sz w:val="24"/>
          <w:szCs w:val="24"/>
        </w:rPr>
        <w:t>DA INEXIGIBILIDADE DE CHAMAMENTO PÚBLICO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ab/>
      </w:r>
      <w:r>
        <w:rPr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Justificamos a Inexigibilidade de Chamamento Público para celebração de parceria por Termo de Fomento entre o Município de Caçapava do Sul, através da Secretaria de Município da Educação, Esporte e Lazer, com a Associação Caçapavana de Futsal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 xml:space="preserve"> – CNPJ nº.24.355.297/0001-76,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 xml:space="preserve"> nos termos abaixo: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  <w:t>Considerando a Emenda à Lei Orgânica Municipal nº. 016/2020, que acrescenta o art. 56-A na Lei Orgânica do Município de Caçapava do Sul, que institui o Orçamento Impositivo e dispõe sobre a execução orçamentária e financeira da programação incluída por Emendas Individuais e de Bancadas do Legislativo Municipal em Lei Orçamentária Anual, previstas na Emenda Constitucional n°.86, de 11 de março de 2015 e Emenda Constitucional n°.100, de 26 de junho de 2019.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>Considerando a Lei nº.4.272 de 18 de outubro de 2021 que dispõe sobre o Plano Plurianual (PPA) para o quadriênio 2022-2025 e dá outras providências.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>Considerando a Lei Municipal nº.4.703 de 14 de novembro de 2024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 xml:space="preserve"> (LDO), que estabelece as Diretrizes Orçamentárias para o exercício financeiro de 2024.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  <w:t>Considerando a Lei Municipal de nº.4.711 de 26 de dezembro de 2024 (LOA), que estima a Receita e fixa a Despesa do Município de Caçapava do Sul para o exercício financeiro de 2024.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>Considerando a Lei Federal nº.13.019, de 2014 e suas alterações dada pela Lei nº.13.204, de 2015.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  <w:t>Considerando o Decreto Municipal nº.3807 de 04 de abril de 2017 que regulamenta a Lei 13.019/2014 no âmbito do Município de Caçapava do Sul.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  <w:t>Considerando o Decreto Municipal nº.4031 de 27 de junho de 2018 que institui novo Plano de Trabalho do Anexo I do Decreto nº.3807/2017.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  <w:t xml:space="preserve">Considerando o Decreto Municipal nº.5.780 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>de 20 de fevereiro de 2025 que dispõe sobre os procedimentos e prazos para operacionalização das emendas impositivas individuais e de bancada no exercício de 2025, de repasse às entidades sem fins lucrativos.</w:t>
      </w:r>
    </w:p>
    <w:p>
      <w:pPr>
        <w:pStyle w:val="Corpodotexto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 xml:space="preserve">Considerando o objeto da Emenda nº.20/2024, da Bancada PP, que indica a entidade beneficiária para o recebimento de recurso público, com a seguinte justificativa: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>O valor destinado através da Emenda proposta tem por objetivo a aquisição de material desportivo e gastos com transporte para as categorias adulta e de base da entidade beneficiária.</w:t>
      </w:r>
    </w:p>
    <w:p>
      <w:pPr>
        <w:pStyle w:val="Corpodotexto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 xml:space="preserve">Considerando o objeto da Emenda nº.58/2024, de autoria do Vereador Zilmar Araújo, que indica a entidade beneficiária para o recebimento de recurso público, com a seguinte justificativa: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>O recurso destinado através da emenda proposta, tem como objetivo a aquisição de material desportivo e gastos com transporte para as categorias adulta e de base da entidade beneficiária.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ab/>
        <w:t>Considerando que a entidade beneficiária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 apresentou 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Propostas de Manifestação de Interesse Social – PMIS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>, com indicação das ações a serem realizadas, indicação de público-alvo e o interesse público envolvido nas atividades propostas de acordo com os objetos das emendas.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ab/>
        <w:t>Considerando que a Associação Caçapava de Futsal possui Cadastro Nacional da Pessoa Jurídica, sob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 xml:space="preserve"> o nº.24.355.297/0001-76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, com data de abertura em 07/03/2016, com situação cadastral ativa, possuindo Classificação Nacional de Atividades Econômicas (CNAE): Ensino de esportes, como atividade principal e produção e promoção de eventos esportivos como atividades secundárias, sendo associação de direito privado, sem fins lucrativos, com sede no Município de Caçapava do Sul. 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ab/>
        <w:t xml:space="preserve">Considerando que os repasses às Organizações da Sociedade Civil devem atender aos requisitos legais como a promoção de atividades e finalidades de 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>relevância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 xml:space="preserve"> pública e social, conforme previsto no inciso I do art. 33 da Lei Federal nº.13.019/2014.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ab/>
        <w:t xml:space="preserve">Considerando o art. 29 da Lei Federal nº.13019/2014 e suas alterações, no ajuste a ser firmado com as Organizações da Sociedade Civil para fomento decorrente de emendas parlamentares. 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>Considerando ao que está disposto no art. 31, Inciso II da Lei Federal nº. 13019/2014 e suas alterações, JUSTIFICA-SE firmar parceria, por Termo de Fomento, sem a realização de chamamento público, com a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 xml:space="preserve"> Associação Caçapavana de Futsal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</w:rPr>
        <w:t>, imposta por Emendas Parlamentares do Município ao Orçamento no Exercício de 2025.</w:t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ab/>
        <w:t>Fica aberto o prazo de 5 (cinco) dias, a contar a data de publicação, para impugnação da justificativa, conforme previsto no §2º do art. 32 da Lei Federal nº.13.019/2014, e deverão ser dirigidas ao Gabinete do Prefeito da Prefeitura Municipal de Caçapava do Sul, sito à rua XV de Novembro, nº.438, Centro de Caçapava do Sul, durante o horário de expediente da Administração, que se inicia às 9 horas e se encerra às 15 horas.</w:t>
      </w: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ab/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ab/>
        <w:tab/>
        <w:tab/>
      </w:r>
    </w:p>
    <w:p>
      <w:pPr>
        <w:pStyle w:val="Corpodotexto"/>
        <w:widowControl/>
        <w:spacing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before="0" w:after="0"/>
        <w:jc w:val="center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auto"/>
          <w:spacing w:val="0"/>
          <w:sz w:val="24"/>
          <w:szCs w:val="24"/>
        </w:rPr>
        <w:t xml:space="preserve">Caçapava do Sul – RS, </w:t>
      </w:r>
      <w:r>
        <w:rPr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14 de abril</w:t>
      </w:r>
      <w:r>
        <w:rPr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de 2025.</w:t>
      </w:r>
    </w:p>
    <w:p>
      <w:pPr>
        <w:pStyle w:val="Corpodotexto"/>
        <w:widowControl/>
        <w:spacing w:before="0" w:after="0"/>
        <w:jc w:val="center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cs="Liberation Serif;Times New Roman"/>
          <w:b/>
          <w:i w:val="false"/>
          <w:caps w:val="false"/>
          <w:smallCaps w:val="false"/>
          <w:color w:val="auto"/>
          <w:spacing w:val="0"/>
          <w:sz w:val="24"/>
          <w:szCs w:val="24"/>
        </w:rPr>
        <w:tab/>
        <w:tab/>
        <w:tab/>
        <w:tab/>
        <w:t>Marcelo C. Spode</w:t>
      </w:r>
    </w:p>
    <w:p>
      <w:pPr>
        <w:pStyle w:val="Normal"/>
        <w:widowControl/>
        <w:spacing w:lineRule="auto" w:line="360" w:before="0" w:after="0"/>
        <w:ind w:left="142" w:right="0" w:hanging="0"/>
        <w:jc w:val="both"/>
        <w:rPr/>
      </w:pPr>
      <w:r>
        <w:rPr>
          <w:rStyle w:val="Fontepargpadro"/>
          <w:rFonts w:eastAsia="Calibri" w:cs="Liberation Serif;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lang w:eastAsia="pt-BR"/>
        </w:rPr>
        <w:tab/>
        <w:tab/>
        <w:tab/>
        <w:t>Prefeito de Caçapava do Sul - RS</w:t>
      </w:r>
    </w:p>
    <w:sectPr>
      <w:headerReference w:type="default" r:id="rId2"/>
      <w:footerReference w:type="default" r:id="rId3"/>
      <w:type w:val="nextPage"/>
      <w:pgSz w:w="11906" w:h="16838"/>
      <w:pgMar w:left="1695" w:right="857" w:gutter="0" w:header="1134" w:top="2544" w:footer="854" w:bottom="147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sz w:val="21"/>
        <w:szCs w:val="21"/>
      </w:rPr>
    </w:pPr>
    <w:r>
      <w:rPr>
        <w:sz w:val="21"/>
        <w:szCs w:val="21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-831850</wp:posOffset>
          </wp:positionH>
          <wp:positionV relativeFrom="paragraph">
            <wp:posOffset>212725</wp:posOffset>
          </wp:positionV>
          <wp:extent cx="7033895" cy="39687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7360" r="-615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4</w:t>
    </w:r>
    <w:r>
      <w:rPr>
        <w:sz w:val="21"/>
        <w:szCs w:val="21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-890270</wp:posOffset>
          </wp:positionH>
          <wp:positionV relativeFrom="paragraph">
            <wp:posOffset>-593090</wp:posOffset>
          </wp:positionV>
          <wp:extent cx="7233285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7" r="0" b="7983"/>
                  <a:stretch>
                    <a:fillRect/>
                  </a:stretch>
                </pic:blipFill>
                <pic:spPr bwMode="auto">
                  <a:xfrm>
                    <a:off x="0" y="0"/>
                    <a:ext cx="7233285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uiPriority w:val="99"/>
    <w:semiHidden/>
    <w:qFormat/>
    <w:rsid w:val="002c5b8f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LibreOffice/7.4.2.3$Windows_X86_64 LibreOffice_project/382eef1f22670f7f4118c8c2dd222ec7ad009daf</Application>
  <AppVersion>15.0000</AppVersion>
  <Pages>4</Pages>
  <Words>1068</Words>
  <Characters>6038</Characters>
  <CharactersWithSpaces>7088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2025-04-14T11:51:17Z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