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MEMORIAL DESCRITIVO E PLANILHA DE CUSTOS</w:t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Carregamento e Transporte</w:t>
      </w:r>
      <w:r w:rsidDel="00000000" w:rsidR="00000000" w:rsidRPr="00000000">
        <w:rPr>
          <w:b w:val="1"/>
          <w:vertAlign w:val="baseline"/>
          <w:rtl w:val="0"/>
        </w:rPr>
        <w:t xml:space="preserve"> de Resíduos Sólidos Domiciliares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Introdução: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Memorial descritivo referente e planilha de custos do transporte até a destinação final ambientalmente adequada dos Resíduos Domésticos do Município de Caçapava do 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Objetivos: </w:t>
      </w:r>
      <w:r w:rsidDel="00000000" w:rsidR="00000000" w:rsidRPr="00000000">
        <w:rPr>
          <w:vertAlign w:val="baseline"/>
          <w:rtl w:val="0"/>
        </w:rPr>
        <w:t xml:space="preserve">Este memorial tem por objetivo apresentar </w:t>
      </w:r>
      <w:r w:rsidDel="00000000" w:rsidR="00000000" w:rsidRPr="00000000">
        <w:rPr>
          <w:rtl w:val="0"/>
        </w:rPr>
        <w:t xml:space="preserve">o dimensionamento e as referências para o projeto base da licitação do transporte até a destinação final ambientalmente adequada dos resíduos domésticos do Município de Caçapava do Sul-RS, todos os anexos deste memorial estarão disponíveis para consulta no setor de licitações da Prefeitura Municipal de Caçapava do Sul.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Mão de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b w:val="1"/>
          <w:vertAlign w:val="baseline"/>
          <w:rtl w:val="0"/>
        </w:rPr>
        <w:t xml:space="preserve">Salário do </w:t>
      </w:r>
      <w:r w:rsidDel="00000000" w:rsidR="00000000" w:rsidRPr="00000000">
        <w:rPr>
          <w:b w:val="1"/>
          <w:rtl w:val="0"/>
        </w:rPr>
        <w:t xml:space="preserve">Motorista</w:t>
      </w:r>
      <w:r w:rsidDel="00000000" w:rsidR="00000000" w:rsidRPr="00000000">
        <w:rPr>
          <w:b w:val="1"/>
          <w:vertAlign w:val="baseline"/>
          <w:rtl w:val="0"/>
        </w:rPr>
        <w:t xml:space="preserve"> turno dia:</w:t>
      </w:r>
      <w:r w:rsidDel="00000000" w:rsidR="00000000" w:rsidRPr="00000000">
        <w:rPr>
          <w:vertAlign w:val="baseline"/>
          <w:rtl w:val="0"/>
        </w:rPr>
        <w:t xml:space="preserve"> Para cálculo do salário do motorista</w:t>
      </w:r>
      <w:r w:rsidDel="00000000" w:rsidR="00000000" w:rsidRPr="00000000">
        <w:rPr>
          <w:rtl w:val="0"/>
        </w:rPr>
        <w:t xml:space="preserve"> e demais direitos trabalhistas,</w:t>
      </w:r>
      <w:r w:rsidDel="00000000" w:rsidR="00000000" w:rsidRPr="00000000">
        <w:rPr>
          <w:vertAlign w:val="baseline"/>
          <w:rtl w:val="0"/>
        </w:rPr>
        <w:t xml:space="preserve"> foi considerado o Acordo do Sindica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o dos Trabalhadores de Transportes Rodoviários de Bagé e SETCESUL - Proc. Nº 0020997-41.2018.5.04.000 RVDC, que estima o valor salarial mensal para a categoria igual a R$ 1</w:t>
      </w:r>
      <w:r w:rsidDel="00000000" w:rsidR="00000000" w:rsidRPr="00000000">
        <w:rPr>
          <w:rtl w:val="0"/>
        </w:rPr>
        <w:t xml:space="preserve">849</w:t>
      </w:r>
      <w:r w:rsidDel="00000000" w:rsidR="00000000" w:rsidRPr="00000000">
        <w:rPr>
          <w:vertAlign w:val="baseline"/>
          <w:rtl w:val="0"/>
        </w:rPr>
        <w:t xml:space="preserve">,00. O motorista deverá operar a carregadeira e realizar o carregamento do caminhão. Para cálculo do adicional de insalubridad</w:t>
      </w:r>
      <w:r w:rsidDel="00000000" w:rsidR="00000000" w:rsidRPr="00000000">
        <w:rPr>
          <w:highlight w:val="white"/>
          <w:vertAlign w:val="baseline"/>
          <w:rtl w:val="0"/>
        </w:rPr>
        <w:t xml:space="preserve">e foi considerado </w:t>
      </w:r>
      <w:r w:rsidDel="00000000" w:rsidR="00000000" w:rsidRPr="00000000">
        <w:rPr>
          <w:highlight w:val="white"/>
          <w:rtl w:val="0"/>
        </w:rPr>
        <w:t xml:space="preserve">40%. </w:t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Salário do auxiliar de serviços patrimoniais:</w:t>
      </w:r>
      <w:r w:rsidDel="00000000" w:rsidR="00000000" w:rsidRPr="00000000">
        <w:rPr>
          <w:highlight w:val="white"/>
          <w:rtl w:val="0"/>
        </w:rPr>
        <w:t xml:space="preserve"> Para referenciar o valor do salário, auxílio alimentação e vale transporte do auxiliar de serviços patrimoniais vigilante foi considerado a Convenção Coletiva do Sindicato das Empresas de Segurança e Vigilância do Estado do Rio Grande do Sul, sob registro no MTE: RS 000717/19, processo nº 46218.002671/2019-89 e a Convenção Coletiva também do referido Sindicato com registro no MTE: RS 001814/2018, processo nº 46218.014744/2018-02.</w:t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Vale Transporte:</w:t>
      </w:r>
      <w:r w:rsidDel="00000000" w:rsidR="00000000" w:rsidRPr="00000000">
        <w:rPr>
          <w:highlight w:val="white"/>
          <w:rtl w:val="0"/>
        </w:rPr>
        <w:t xml:space="preserve"> Para calcular o vale transporte foi considerado o valor da atual da passagem no Município.</w:t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Vale Refeição:</w:t>
      </w:r>
      <w:r w:rsidDel="00000000" w:rsidR="00000000" w:rsidRPr="00000000">
        <w:rPr>
          <w:highlight w:val="white"/>
          <w:rtl w:val="0"/>
        </w:rPr>
        <w:t xml:space="preserve"> Para cálculo do vale refeição foi considerado as convenções trabalhistas já citadas, ressalta-se que conforme item 09, §2º do acordo sindical mencionado, </w:t>
      </w:r>
      <w:r w:rsidDel="00000000" w:rsidR="00000000" w:rsidRPr="00000000">
        <w:rPr>
          <w:i w:val="1"/>
          <w:highlight w:val="white"/>
          <w:rtl w:val="0"/>
        </w:rPr>
        <w:t xml:space="preserve">“O motorista e demais empregados que sempre se ausentar do domicílio da empresa, em viagem e a serviço desta, por período inferior a 24 (vinte e quatro) horas, terão reembolso de suas despesas, também vinculado à apresentação de notas fiscais correspondentes às refeições estendidas como tais: café da manhã, almoço e janta, cujo reembolso é fixado em R$ 6,00, R$ 23,00 e R$ 23,00 respectivamente”</w:t>
      </w:r>
      <w:r w:rsidDel="00000000" w:rsidR="00000000" w:rsidRPr="00000000">
        <w:rPr>
          <w:highlight w:val="white"/>
          <w:rtl w:val="0"/>
        </w:rPr>
        <w:t xml:space="preserve"> desta forma como o carregamento ocorre após as 7 horas e 30 minutos para cálculo foi considerado café da manhã e almoço.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Uniformes e Equipamentos de Proteção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calcular o gasto com uniformes e equipamentos de proteção individual foi realizado um levantamento de preço com pelo menos três orçamentos de cada item e foi calculada a média do valor de cada item, conforme mostra a tabela a seguir: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2.0" w:type="dxa"/>
        <w:jc w:val="left"/>
        <w:tblInd w:w="0.0" w:type="dxa"/>
        <w:tblLayout w:type="fixed"/>
        <w:tblLook w:val="0000"/>
      </w:tblPr>
      <w:tblGrid>
        <w:gridCol w:w="2376"/>
        <w:gridCol w:w="1843"/>
        <w:gridCol w:w="1701"/>
        <w:gridCol w:w="1559"/>
        <w:gridCol w:w="1853"/>
        <w:tblGridChange w:id="0">
          <w:tblGrid>
            <w:gridCol w:w="2376"/>
            <w:gridCol w:w="1843"/>
            <w:gridCol w:w="1701"/>
            <w:gridCol w:w="1559"/>
            <w:gridCol w:w="18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Loja 1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Loja 2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Loja 3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Média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Jaqueta com reflexivo (NBR 15.292)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44,96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Camiseta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20,48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Botina de segurança c/ palmilha de aço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67,66</w:t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Higienização de EPI: </w:t>
      </w:r>
      <w:r w:rsidDel="00000000" w:rsidR="00000000" w:rsidRPr="00000000">
        <w:rPr>
          <w:rtl w:val="0"/>
        </w:rPr>
        <w:t xml:space="preserve">Para cálculo do valor de referência do item higienização de EPI foi considerado três planilhas dos Municípios de Torres, São Jerônimo e Faxinal do Soturno, foi feito a média dos valores e foram corrigidos pelo índice IPCA 2019 igual a 4,25%.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0.8"/>
        <w:gridCol w:w="1870.8"/>
        <w:gridCol w:w="1870.8"/>
        <w:gridCol w:w="1870.8"/>
        <w:gridCol w:w="1870.8"/>
        <w:tblGridChange w:id="0">
          <w:tblGrid>
            <w:gridCol w:w="1870.8"/>
            <w:gridCol w:w="1870.8"/>
            <w:gridCol w:w="1870.8"/>
            <w:gridCol w:w="1870.8"/>
            <w:gridCol w:w="1870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Referência 1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Referência 2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Referência 3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Média corrigida (R$)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Higienização EPI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71,23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vertAlign w:val="baseline"/>
          <w:rtl w:val="0"/>
        </w:rPr>
        <w:t xml:space="preserve">Para calcular a vida útil dos uniformes e EPIs foi considerado a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vertAlign w:val="baseline"/>
          <w:rtl w:val="0"/>
        </w:rPr>
        <w:t xml:space="preserve">evista Proteção e também a Nota Técnica 146/</w:t>
      </w:r>
      <w:r w:rsidDel="00000000" w:rsidR="00000000" w:rsidRPr="00000000">
        <w:rPr>
          <w:rtl w:val="0"/>
        </w:rPr>
        <w:t xml:space="preserve">2015 do MTE. Desta forma temos que o custo mensal com EPIs para o motorista, o auxiliar de serviços patrimoniais e para o operador de máquinas é: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b w:val="1"/>
          <w:rtl w:val="0"/>
        </w:rPr>
        <w:t xml:space="preserve">Máquina para serviço de carregamento do caminhão: </w:t>
      </w:r>
      <w:r w:rsidDel="00000000" w:rsidR="00000000" w:rsidRPr="00000000">
        <w:rPr>
          <w:rtl w:val="0"/>
        </w:rPr>
        <w:t xml:space="preserve">Para calcular o valor da carregadeira utilizada para carregar o caminhão foi realizado levantamento de preço, sendo que foram obtidos apenas dois orçamentos, desta forma foi realizada a média entre os valores. A carregadeira utilizada deverá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estar em perfeitas condições de trafegabilidade, funcionamento e conservação, possuindo no máximo 10 (dez) anos de fabricação, a empresa deverá apresentar na planilha de custos a depreciação e custo de remuneração de capital de acordo com o veículo e compactador a serem utilizados por ela no serviço, caso a empresa vencedora durante a execução do contrato optar por uma carregadeira mais nova do que o pactuado na planilha da proposta a mesma não será remunerada por isso, em hipótese alguma será aceito uma carregadeira com idade superior a 10 (dez)</w:t>
      </w:r>
      <w:r w:rsidDel="00000000" w:rsidR="00000000" w:rsidRPr="00000000">
        <w:rPr>
          <w:rtl w:val="0"/>
        </w:rPr>
        <w:t xml:space="preserve"> anos.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 1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Valor  2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 (R$)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586.000,00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588.000,00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587.000,00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Impostos e seguro: </w:t>
      </w:r>
      <w:r w:rsidDel="00000000" w:rsidR="00000000" w:rsidRPr="00000000">
        <w:rPr>
          <w:rtl w:val="0"/>
        </w:rPr>
        <w:t xml:space="preserve">Para calcular o valor de licenciamento e seguro obrigatório, tendo em vista que o Detran não disponibilizou o valor da taxa sem ter a placa do veículo, foi feito a média dos valores das três planilhas dos Municípios de Torres, São Jerônimo e Faxinal do Soturno.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b w:val="1"/>
          <w:rtl w:val="0"/>
        </w:rPr>
        <w:t xml:space="preserve">Consumo de combustível, óleos para manutenção e manutenção: </w:t>
      </w:r>
      <w:r w:rsidDel="00000000" w:rsidR="00000000" w:rsidRPr="00000000">
        <w:rPr>
          <w:rtl w:val="0"/>
        </w:rPr>
        <w:t xml:space="preserve">Para estimar o consumo da máquina inicialmente foi conferido in loco o tempo de carregamento do caminhão e constatou-se que levou 80 minutos para carregar o caminhão, conforme informado pelos servidores da Prefeitura Municipal de Caçapava do Sul do cargo mecânico verificou-se que uma máquina similar a que foi avaliada trabalha cerca de 150 km em 8 horas/máquina, desta forma em 80 minutos (1 hora e 20 min/máquina) temos que a máquina trabalha  o correspondente a  25 km, assim podemos calcular que durante o mês (20 cargas)  a máquina trabalhará cerca de 500 km.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Para estimar o consumo de combustível da máquina trabalhando temos o valor igual a 2 km/L. Para o cálculo do valor de óleo diesel foi realizado três orçamentos no Município, sendo considerada a média entre os três valores.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2.0" w:type="dxa"/>
        <w:jc w:val="left"/>
        <w:tblInd w:w="0.0" w:type="dxa"/>
        <w:tblLayout w:type="fixed"/>
        <w:tblLook w:val="0000"/>
      </w:tblPr>
      <w:tblGrid>
        <w:gridCol w:w="2093"/>
        <w:gridCol w:w="1843"/>
        <w:gridCol w:w="1559"/>
        <w:gridCol w:w="1701"/>
        <w:gridCol w:w="2136"/>
        <w:tblGridChange w:id="0">
          <w:tblGrid>
            <w:gridCol w:w="2093"/>
            <w:gridCol w:w="1843"/>
            <w:gridCol w:w="1559"/>
            <w:gridCol w:w="1701"/>
            <w:gridCol w:w="21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Óleo Diesel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Posto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Posto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Posto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Média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Valor do litro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3,49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3,579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3,624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3,564</w:t>
            </w:r>
          </w:p>
        </w:tc>
      </w:tr>
    </w:tbl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Para o cálculo do valor de óleos para manutenção foi realizado três orçamentos no Município, sendo considerada a média entre os três valores, para o cálculo do gasto foi considerado laudo emitido pelos servidores do cargo mecânico, onde foi considerado para óleo de motor, tendo em vista que no semestre a máquina não trabalhará mais de 10.000 km, duas trocas de óleo de motor por ano,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uma troca anual de óleo de transmissão, uma troca anual de óleo hidráulico e 1,0 kg  de graxa por semana.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32.0" w:type="dxa"/>
        <w:jc w:val="left"/>
        <w:tblInd w:w="0.0" w:type="dxa"/>
        <w:tblLayout w:type="fixed"/>
        <w:tblLook w:val="0000"/>
      </w:tblPr>
      <w:tblGrid>
        <w:gridCol w:w="2802"/>
        <w:gridCol w:w="1559"/>
        <w:gridCol w:w="1843"/>
        <w:gridCol w:w="1559"/>
        <w:gridCol w:w="1569"/>
        <w:tblGridChange w:id="0">
          <w:tblGrid>
            <w:gridCol w:w="2802"/>
            <w:gridCol w:w="1559"/>
            <w:gridCol w:w="1843"/>
            <w:gridCol w:w="1559"/>
            <w:gridCol w:w="15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Orçamento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Orçamento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Orçamento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Média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Óleo de motor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15,76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16,90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17,55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Óleo de transmissão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20,50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15,90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18,80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Óleo hidráulico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30,24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28,90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28,04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Graxa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23,75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25,90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23,22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Para calcular o custo com manutenção de veículos foi utilizado o valor sugerido pelo TCE-RS, na orientação técnica para os Municípios (R$ 0,74/km).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rtl w:val="0"/>
        </w:rPr>
        <w:t xml:space="preserve">Pneus: </w:t>
      </w:r>
      <w:r w:rsidDel="00000000" w:rsidR="00000000" w:rsidRPr="00000000">
        <w:rPr>
          <w:rtl w:val="0"/>
        </w:rPr>
        <w:t xml:space="preserve">Para referenciar o valor gasto com pneus foi realizado levantamento de preço dos itens, quanto a recapagem não foi considerado tendo em vista que o uso do pneu durante o ano em km é igual a 6000 e a durabilidade é igual a 60.000 km, não sendo necessário recapar os pneus. Quanto a durabilidade foi realizada pesquisa na internet: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9"/>
        <w:gridCol w:w="1559"/>
        <w:gridCol w:w="1559"/>
        <w:gridCol w:w="1559"/>
        <w:gridCol w:w="1559"/>
        <w:gridCol w:w="1559"/>
        <w:tblGridChange w:id="0">
          <w:tblGrid>
            <w:gridCol w:w="1559"/>
            <w:gridCol w:w="1559"/>
            <w:gridCol w:w="1559"/>
            <w:gridCol w:w="1559"/>
            <w:gridCol w:w="1559"/>
            <w:gridCol w:w="155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Orçamento 1 -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Orçamento 2 - 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Orçamento 3 - 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Referência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Durabilidade em km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Jogo de pneus 1400 aro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1979,00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2035,00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2159,90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2057,96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60.000 </w:t>
            </w:r>
          </w:p>
        </w:tc>
      </w:tr>
    </w:tbl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Veículo, Container/Caçamba e Remuneração de Capital: </w:t>
      </w:r>
      <w:r w:rsidDel="00000000" w:rsidR="00000000" w:rsidRPr="00000000">
        <w:rPr>
          <w:rtl w:val="0"/>
        </w:rPr>
        <w:t xml:space="preserve">Para calcular o valor do veículo foi considerado quatro possíveis tipos de veículos, desta forma buscou-se os valores dos mesmos na tabela FIPE e realizou-se a média entre os valores.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80.0" w:type="dxa"/>
        <w:jc w:val="left"/>
        <w:tblInd w:w="0.0" w:type="dxa"/>
        <w:tblLayout w:type="fixed"/>
        <w:tblLook w:val="0000"/>
      </w:tblPr>
      <w:tblGrid>
        <w:gridCol w:w="3227"/>
        <w:gridCol w:w="1559"/>
        <w:gridCol w:w="1276"/>
        <w:gridCol w:w="1984"/>
        <w:gridCol w:w="1534"/>
        <w:tblGridChange w:id="0">
          <w:tblGrid>
            <w:gridCol w:w="3227"/>
            <w:gridCol w:w="1559"/>
            <w:gridCol w:w="1276"/>
            <w:gridCol w:w="1984"/>
            <w:gridCol w:w="15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FIPE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Preço Médio FIPE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Preço Médio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19-330 E Constellation 2p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Volkswagen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515138-4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281.880,00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24-330 E Constel. 6x2 2p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Volkswagen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515140-6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301.747,00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TECTOR 240E22 ATTACK 6x2 2p (dies.)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IVECO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506089-3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228.666,00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Atego 2426 6x2 2p (diesel) (E5)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MERCEDES-BENZ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509284-1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261.344,00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1.073.364,00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268.341,00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  <w:t xml:space="preserve">Para calcular o valor do container/caçamba inicialmente foi  realizado levantamento de preço com empresas e calculado a média entre os orçamentos obtidos, tendo em vista a dificuldade de orçar, pois muitas empresas se recusaram a orçar por se tratar de Prefeitura, foi conseguido apenas dois orçamentos dessa forma temos que: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1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2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 (R$)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18.500,00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21.240,00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19.870,00</w:t>
            </w:r>
          </w:p>
        </w:tc>
      </w:tr>
    </w:tbl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firstLine="850.3937007874017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O veículo e container deverão estar em perfeitas condições de trafegabilidade, funcionamento e conservação, possuindo no máximo 10 (dez) anos de fabricação, a empresa deverá apresentar na planilha de custos a depreciação e custo de remuneração de capital de acordo com o veículo e container a serem utilizados por ela no serviço, caso a empresa vencedora durante a execução do contrato optar por um veículo e container mais novo do que o pactuado na planilha da proposta a mesma não será remunerada por isso, em hipótese alguma será aceito veículo e compactador com idade superior a 10 (dez)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b w:val="1"/>
          <w:rtl w:val="0"/>
        </w:rPr>
        <w:t xml:space="preserve">Impostos de Seguros: </w:t>
      </w:r>
      <w:r w:rsidDel="00000000" w:rsidR="00000000" w:rsidRPr="00000000">
        <w:rPr>
          <w:rtl w:val="0"/>
        </w:rPr>
        <w:t xml:space="preserve">Para calcular o valor de licenciamento e seguro obrigatório, tendo em vista que o Detran não disponibilizou o valor da taxa sem ter a placa do veículo, foi feito a média dos valores das três planilhas dos Municípios de Torres, São Jerônimo e Faxinal do Soturno, para o valor de seguro contra terceiros foi tentado fazer diversos orçamentos, porém pelo fato de não possuir os documentos dos veículos apenas duas seguradoras responderam o valor estimado, desta forma foi realizado e média entre os orçamentos obtidos.</w:t>
      </w:r>
    </w:p>
    <w:p w:rsidR="00000000" w:rsidDel="00000000" w:rsidP="00000000" w:rsidRDefault="00000000" w:rsidRPr="00000000" w14:paraId="000000B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Cálculo de quilometragem</w:t>
      </w:r>
      <w:r w:rsidDel="00000000" w:rsidR="00000000" w:rsidRPr="00000000">
        <w:rPr>
          <w:b w:val="1"/>
          <w:rtl w:val="0"/>
        </w:rPr>
        <w:t xml:space="preserve"> mensal,</w:t>
      </w:r>
      <w:r w:rsidDel="00000000" w:rsidR="00000000" w:rsidRPr="00000000">
        <w:rPr>
          <w:b w:val="1"/>
          <w:vertAlign w:val="baseline"/>
          <w:rtl w:val="0"/>
        </w:rPr>
        <w:t xml:space="preserve"> consumo de combustíveis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óleos para manutenção e custos com manutenção de veículos: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Para calcular a quilometragem foi considerado o seguinte </w:t>
      </w:r>
      <w:r w:rsidDel="00000000" w:rsidR="00000000" w:rsidRPr="00000000">
        <w:rPr>
          <w:rtl w:val="0"/>
        </w:rPr>
        <w:t xml:space="preserve">raciocínio</w:t>
      </w:r>
      <w:r w:rsidDel="00000000" w:rsidR="00000000" w:rsidRPr="00000000">
        <w:rPr>
          <w:b w:val="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Se considerarmos que a capacidade de carga de um container/caçamba de 26m3, por viagem é em média 25000 kg e considerarmos a geração mensal por série histórica calculada (503,77) temos que o número de viagens por mês é igual a 20 viagens/mês, desta forma podemos calcular a quilometragem mensal para o Aterro Sanitário de Santa Maria, vencedor da licitação da disposição final:</w:t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8.5"/>
        <w:gridCol w:w="2338.5"/>
        <w:gridCol w:w="2338.5"/>
        <w:gridCol w:w="2338.5"/>
        <w:tblGridChange w:id="0">
          <w:tblGrid>
            <w:gridCol w:w="2338.5"/>
            <w:gridCol w:w="2338.5"/>
            <w:gridCol w:w="2338.5"/>
            <w:gridCol w:w="2338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Aterro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km para uma viagem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km ida e volta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km mensal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CRVR - UNIDADE SANTA 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107 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214 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4280 km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Para o cálculo do valor de óleo diesel foi realizado três orçamentos no Município, sendo considerada a média entre os três valores.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32.0" w:type="dxa"/>
        <w:jc w:val="left"/>
        <w:tblInd w:w="0.0" w:type="dxa"/>
        <w:tblLayout w:type="fixed"/>
        <w:tblLook w:val="0000"/>
      </w:tblPr>
      <w:tblGrid>
        <w:gridCol w:w="2093"/>
        <w:gridCol w:w="1843"/>
        <w:gridCol w:w="1559"/>
        <w:gridCol w:w="1701"/>
        <w:gridCol w:w="2136"/>
        <w:tblGridChange w:id="0">
          <w:tblGrid>
            <w:gridCol w:w="2093"/>
            <w:gridCol w:w="1843"/>
            <w:gridCol w:w="1559"/>
            <w:gridCol w:w="1701"/>
            <w:gridCol w:w="21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Diesel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Posto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Posto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Média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Valor do litro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3,579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3,624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3,564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highlight w:val="yellow"/>
        </w:rPr>
      </w:pPr>
      <w:r w:rsidDel="00000000" w:rsidR="00000000" w:rsidRPr="00000000">
        <w:rPr>
          <w:b w:val="0"/>
          <w:vertAlign w:val="baseline"/>
          <w:rtl w:val="0"/>
        </w:rPr>
        <w:t xml:space="preserve">Para o cálculo do valor de óleos para manutenção foi realizado três orçamentos no Município, sendo considerada a média entre os três valores, para o cálculo do gasto foi considerado laudo emitido pelos servidores do cargo mecânico, onde foi considerado para óleo de motor </w:t>
      </w:r>
      <w:r w:rsidDel="00000000" w:rsidR="00000000" w:rsidRPr="00000000">
        <w:rPr>
          <w:rtl w:val="0"/>
        </w:rPr>
        <w:t xml:space="preserve">20 litros para cada 10.000 km rodados, uma troca anual de óleo de transmissão, uma troca anual de óleo hidráulico e 1,5 kg  de graxa por semana.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32.0" w:type="dxa"/>
        <w:jc w:val="left"/>
        <w:tblInd w:w="0.0" w:type="dxa"/>
        <w:tblLayout w:type="fixed"/>
        <w:tblLook w:val="0000"/>
      </w:tblPr>
      <w:tblGrid>
        <w:gridCol w:w="2802"/>
        <w:gridCol w:w="1559"/>
        <w:gridCol w:w="1843"/>
        <w:gridCol w:w="1559"/>
        <w:gridCol w:w="1569"/>
        <w:tblGridChange w:id="0">
          <w:tblGrid>
            <w:gridCol w:w="2802"/>
            <w:gridCol w:w="1559"/>
            <w:gridCol w:w="1843"/>
            <w:gridCol w:w="1559"/>
            <w:gridCol w:w="15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1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2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Orçamento 3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Média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de motor para caminhão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17,55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de transmissão para caminhão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18,80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Óleo hidráulico para caminhão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30,24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28,04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Graxa para caminhão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23,22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/>
      </w:pPr>
      <w:r w:rsidDel="00000000" w:rsidR="00000000" w:rsidRPr="00000000">
        <w:rPr>
          <w:rtl w:val="0"/>
        </w:rPr>
        <w:t xml:space="preserve">Para calcular o custo com manutenção de veículos foi utilizado o valor sugerido pelo TCE-RS, na orientação técnica para os Municípios (R$ 0,74/km), desta forma considerando o aterro sanitário de Santa Maria, vencedor da licitação para disposição final, desta forma temos: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b w:val="1"/>
          <w:rtl w:val="0"/>
        </w:rPr>
        <w:t xml:space="preserve">Pneus e Recapagens: </w:t>
      </w:r>
      <w:r w:rsidDel="00000000" w:rsidR="00000000" w:rsidRPr="00000000">
        <w:rPr>
          <w:rtl w:val="0"/>
        </w:rPr>
        <w:t xml:space="preserve">Para referenciar o valor gasto com pneus e recapagens foi realizado levantamento de preço dos itens e buscado a durabilidade em pesquisas na internet:</w:t>
      </w:r>
    </w:p>
    <w:p w:rsidR="00000000" w:rsidDel="00000000" w:rsidP="00000000" w:rsidRDefault="00000000" w:rsidRPr="00000000" w14:paraId="000000EC">
      <w:pPr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9"/>
        <w:gridCol w:w="1559"/>
        <w:gridCol w:w="1559"/>
        <w:gridCol w:w="1559"/>
        <w:gridCol w:w="1559"/>
        <w:gridCol w:w="1559"/>
        <w:tblGridChange w:id="0">
          <w:tblGrid>
            <w:gridCol w:w="1559"/>
            <w:gridCol w:w="1559"/>
            <w:gridCol w:w="1559"/>
            <w:gridCol w:w="1559"/>
            <w:gridCol w:w="1559"/>
            <w:gridCol w:w="155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1 -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2 - 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Orçamento 3 -  Valor 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Durabilidade em km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Jogo de pneus 295x80x22,5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1598,00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1773,09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1936,25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1.769,11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60.000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Recapagem de pneus 295x80x22,5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576,00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558,67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75.000 (duas recapagens)</w:t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b w:val="1"/>
          <w:rtl w:val="0"/>
        </w:rPr>
        <w:t xml:space="preserve">BDI:</w:t>
      </w:r>
      <w:r w:rsidDel="00000000" w:rsidR="00000000" w:rsidRPr="00000000">
        <w:rPr>
          <w:rtl w:val="0"/>
        </w:rPr>
        <w:t xml:space="preserve"> Para calcular o BDI foi considerado a tabela de referência da orientação técnica do TCE-RS, desta forma temos que: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6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555"/>
        <w:gridCol w:w="900"/>
        <w:gridCol w:w="990"/>
        <w:gridCol w:w="825"/>
        <w:gridCol w:w="990"/>
        <w:tblGridChange w:id="0">
          <w:tblGrid>
            <w:gridCol w:w="4380"/>
            <w:gridCol w:w="555"/>
            <w:gridCol w:w="900"/>
            <w:gridCol w:w="990"/>
            <w:gridCol w:w="825"/>
            <w:gridCol w:w="990"/>
          </w:tblGrid>
        </w:tblGridChange>
      </w:tblGrid>
      <w:tr>
        <w:trPr>
          <w:trHeight w:val="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Composição do BDI - Benefícios e Despesas Indiretas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Referência estudo TCE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1° Quartil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Médio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3° Quartil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Administração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5,08%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2,97%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5,08%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6,27%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Seguros/Riscos/Garantias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1,33%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0,86%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1,33%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1,71%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10,85%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7,78%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10,85%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13,55%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Despesas Financeiras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0,14%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4,50%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Tributos - 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3,50%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Tributos - PIS/COFINS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3,65%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Fórmula para o cálculo do BDI: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{[(1+AC+SRG) x (1+L) x (1+DF)] / (1-T)} 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Resultado do cálculo do BDI: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27,22%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21,43%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27,17%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33,62%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Quanto ao item tributos PIS/COFINS foi utilizado valor igual a 3,65%, caso a empresa queira apresentar uma proposta superior a este valor deverá comprovar a alíquota efetiva dos últimos 12 meses.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Ao apresentar a proposta, com exceção dos tributos e remuneração de pessoal, a empresa poderá exceder o limite de até 5% nos demais itens, desde que não altere o valor global orçado na planilha.</w:t>
      </w:r>
    </w:p>
    <w:p w:rsidR="00000000" w:rsidDel="00000000" w:rsidP="00000000" w:rsidRDefault="00000000" w:rsidRPr="00000000" w14:paraId="000001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b w:val="1"/>
          <w:rtl w:val="0"/>
        </w:rPr>
        <w:t xml:space="preserve">Custo total com o carregamento e transporte dos RSUs + BDI: </w:t>
      </w:r>
      <w:r w:rsidDel="00000000" w:rsidR="00000000" w:rsidRPr="00000000">
        <w:rPr>
          <w:rtl w:val="0"/>
        </w:rPr>
        <w:t xml:space="preserve">R$ 28.318,50 + R$ 7.708,30 = R$ 36.026,80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Este memorial possui 6 (seis) páginas rubricadas.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/>
      </w:pPr>
      <w:r w:rsidDel="00000000" w:rsidR="00000000" w:rsidRPr="00000000">
        <w:rPr>
          <w:rtl w:val="0"/>
        </w:rPr>
        <w:t xml:space="preserve">Stener Camargo de Oliveira</w:t>
      </w:r>
    </w:p>
    <w:p w:rsidR="00000000" w:rsidDel="00000000" w:rsidP="00000000" w:rsidRDefault="00000000" w:rsidRPr="00000000" w14:paraId="0000016A">
      <w:pPr>
        <w:jc w:val="center"/>
        <w:rPr/>
      </w:pPr>
      <w:r w:rsidDel="00000000" w:rsidR="00000000" w:rsidRPr="00000000">
        <w:rPr>
          <w:rtl w:val="0"/>
        </w:rPr>
        <w:t xml:space="preserve">Engenheiro Ambiental e Sanitarista</w:t>
      </w:r>
    </w:p>
    <w:p w:rsidR="00000000" w:rsidDel="00000000" w:rsidP="00000000" w:rsidRDefault="00000000" w:rsidRPr="00000000" w14:paraId="0000016B">
      <w:pPr>
        <w:jc w:val="center"/>
        <w:rPr/>
      </w:pPr>
      <w:r w:rsidDel="00000000" w:rsidR="00000000" w:rsidRPr="00000000">
        <w:rPr>
          <w:rtl w:val="0"/>
        </w:rPr>
        <w:t xml:space="preserve">CREA-RS 225051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851" w:top="1134" w:left="1701" w:right="851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jc w:val="right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30900" cy="736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090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D">
    <w:pPr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jc w:val="right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