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MEMORIAL DESCRITIVO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Coleta Regular de Resíduos Sólidos Domiciliares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Introdução: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Memorial descritivo referente a planilha de dimensionamento da Coleta de Resíduos Sólidos do Município de Caçapava do 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Objetivos: </w:t>
      </w:r>
      <w:r w:rsidDel="00000000" w:rsidR="00000000" w:rsidRPr="00000000">
        <w:rPr>
          <w:vertAlign w:val="baseline"/>
          <w:rtl w:val="0"/>
        </w:rPr>
        <w:t xml:space="preserve">Este memorial tem por objetivo apresentar </w:t>
      </w:r>
      <w:r w:rsidDel="00000000" w:rsidR="00000000" w:rsidRPr="00000000">
        <w:rPr>
          <w:rtl w:val="0"/>
        </w:rPr>
        <w:t xml:space="preserve">o dimensionamento e as referências para o projeto base da licitação da coleta de resíduos domésticos do Município de Caçapava do Sul-RS, todos os anexos deste memorial estarão disponíveis para consulta no setor de licitações da Prefeitura Municipal de Caçapava do 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Estimativa da geração de resíduos por série histórica: </w:t>
      </w:r>
      <w:r w:rsidDel="00000000" w:rsidR="00000000" w:rsidRPr="00000000">
        <w:rPr>
          <w:vertAlign w:val="baseline"/>
          <w:rtl w:val="0"/>
        </w:rPr>
        <w:t xml:space="preserve">Para o cálculo da estimativa da geração de resíduos por série histórica, seguiu-se as fórmulas recomendadas pela orientação técnica serviços de coleta de resíduos sólidos domiciliares: Projeto, Contratação e Fiscalização do TCE – RS (2017), onde:</w:t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Q = (∑qn (n, de 1 a 12)/12, </w:t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onde: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 = geração média mensal (ton/mês);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qn = quantidade mensal em cada mês (ton). </w:t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Qd = (∑qn (n, de 1 a 12)/365, </w:t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onde: 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Qd = geração diária de resíduos (ton/dia); 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qn = quantidade mensal em cada mês (ton)</w:t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Conforme informado pela Secretaria de Município de Transportes, Serviços Urbanos, Interior e Trânsito Municipal,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(em anexo) a geração de resíduos urbanos nos últimos 12 (doze) meses, no Município de Caçapava do Sul – RS foi igual a: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4.0" w:type="dxa"/>
        <w:jc w:val="left"/>
        <w:tblInd w:w="0.0" w:type="dxa"/>
        <w:tblLayout w:type="fixed"/>
        <w:tblLook w:val="0000"/>
      </w:tblPr>
      <w:tblGrid>
        <w:gridCol w:w="4747"/>
        <w:gridCol w:w="4757"/>
        <w:tblGridChange w:id="0">
          <w:tblGrid>
            <w:gridCol w:w="4747"/>
            <w:gridCol w:w="47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Peso (Toneladas)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Fevereiro/2018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392,67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Março/2018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472,29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Abril/2018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473,07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383,00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Junho/2018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551,19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Julho/2018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539,01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Agosto/2018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498,57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Setembro/2018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528,71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Outubro/2018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561,28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Novembro/2018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475,45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Dezembro/2018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540,29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Janeiro/2018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574,04</w:t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vertAlign w:val="baseline"/>
          <w:rtl w:val="0"/>
        </w:rPr>
        <w:t xml:space="preserve">Desta forma tem-se: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geração média mensal igual a 499,13 ton./mês e a geração diária de resíduos igual a 16,41 ton./dia.</w:t>
      </w:r>
    </w:p>
    <w:p w:rsidR="00000000" w:rsidDel="00000000" w:rsidP="00000000" w:rsidRDefault="00000000" w:rsidRPr="00000000" w14:paraId="00000038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Estimativa do tipo adequado de veículo de coleta: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0" w:firstLine="85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Peso Específico de Resíduos Domiciliares: O peso específico dos resíduos (ou densidade) é determinado pela relação entre a massa de resíduos, em toneladas, e o volume que esses resíduos ocupam, em metros cúbicos (ton/m³). O peso específico varia em função do grau de compactação dos resíduos. Quando dispostos para a coleta, os resíduos apresentam menor densidade, pois estão “soltos”. Quando no compactador, seu volume é reduzido, aumentando a densidade. Quanto ao peso específico dos resíduos soltos, na ausência de dados mais precisos, é usual adotar o peso específico de 230 kg/m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ind w:left="0" w:right="0" w:firstLine="85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o cálculo por série histórica temos que a geração de RSU em Caçapava do Sul é de 16,41 toneladas/dia ou 16410 kg/dia, se considerarmos o peso específico dos resíduos igual a 230 kg/m3, verificamos que o volume de resíduos não compactados no Município em um dia é 71,35 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ind w:left="0" w:right="0" w:firstLine="851"/>
        <w:jc w:val="both"/>
        <w:rPr>
          <w:highlight w:val="whit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Conforme o DMLU – Departamento Municipal de Limpeza Urbana da Prefeitura de Porto Alegre, é razoável adotar o peso específico para resíduos compactados igual a 500 kg/m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, desta forma temos a estimativa que o volume de resíduos compactados no Município de Caç</w:t>
      </w:r>
      <w:r w:rsidDel="00000000" w:rsidR="00000000" w:rsidRPr="00000000">
        <w:rPr>
          <w:highlight w:val="white"/>
          <w:vertAlign w:val="baseline"/>
          <w:rtl w:val="0"/>
        </w:rPr>
        <w:t xml:space="preserve">apava do Sul é igual a 32,82 m</w:t>
      </w:r>
      <w:r w:rsidDel="00000000" w:rsidR="00000000" w:rsidRPr="00000000">
        <w:rPr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highlight w:val="whit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ind w:left="0" w:right="0" w:firstLine="851"/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Tendo em vista que o volume de resíduos compactados é igual a 32,82 m</w:t>
      </w:r>
      <w:r w:rsidDel="00000000" w:rsidR="00000000" w:rsidRPr="00000000">
        <w:rPr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highlight w:val="white"/>
          <w:vertAlign w:val="baseline"/>
          <w:rtl w:val="0"/>
        </w:rPr>
        <w:t xml:space="preserve">, considera-se que um veículo com compactador de 15 m3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vertAlign w:val="baseline"/>
          <w:rtl w:val="0"/>
        </w:rPr>
        <w:t xml:space="preserve"> desta forma sugere-se o uso de um caminhão tipo </w:t>
      </w:r>
      <w:r w:rsidDel="00000000" w:rsidR="00000000" w:rsidRPr="00000000">
        <w:rPr>
          <w:highlight w:val="white"/>
          <w:rtl w:val="0"/>
        </w:rPr>
        <w:t xml:space="preserve">Toco.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Setores da coleta: </w:t>
      </w:r>
      <w:r w:rsidDel="00000000" w:rsidR="00000000" w:rsidRPr="00000000">
        <w:rPr>
          <w:vertAlign w:val="baseline"/>
          <w:rtl w:val="0"/>
        </w:rPr>
        <w:t xml:space="preserve">Para definição dos setores da Coleta foi considerado o mesmo itinerário elaborado no ano de 2016 (em anexo), tendo em vista que este não apresentou modificações.</w:t>
      </w:r>
    </w:p>
    <w:p w:rsidR="00000000" w:rsidDel="00000000" w:rsidP="00000000" w:rsidRDefault="00000000" w:rsidRPr="00000000" w14:paraId="00000041">
      <w:pPr>
        <w:jc w:val="both"/>
        <w:rPr>
          <w:b w:val="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Dimensionamento da frota de veículos: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Inicialmente foi calculado o quantitativo de resíduos por dia de coleta em toneladas, para tal foi utilizada a fórmula: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sz w:val="28"/>
          <w:szCs w:val="28"/>
          <w:vertAlign w:val="baseline"/>
          <w:rtl w:val="0"/>
        </w:rPr>
        <w:t xml:space="preserve">𝑄</w:t>
      </w:r>
      <w:r w:rsidDel="00000000" w:rsidR="00000000" w:rsidRPr="00000000">
        <w:rPr>
          <w:rFonts w:ascii="Cambria Math" w:cs="Cambria Math" w:eastAsia="Cambria Math" w:hAnsi="Cambria Math"/>
          <w:sz w:val="20"/>
          <w:szCs w:val="20"/>
          <w:vertAlign w:val="baseline"/>
          <w:rtl w:val="0"/>
        </w:rPr>
        <w:t xml:space="preserve">𝑐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vertAlign w:val="baseline"/>
          <w:rtl w:val="0"/>
        </w:rPr>
        <w:t xml:space="preserve">= (</w:t>
      </w:r>
      <w:r w:rsidDel="00000000" w:rsidR="00000000" w:rsidRPr="00000000">
        <w:rPr>
          <w:rFonts w:ascii="Cambria Math" w:cs="Cambria Math" w:eastAsia="Cambria Math" w:hAnsi="Cambria Math"/>
          <w:sz w:val="20"/>
          <w:szCs w:val="20"/>
          <w:vertAlign w:val="baseline"/>
          <w:rtl w:val="0"/>
        </w:rPr>
        <w:t xml:space="preserve">𝑄</w:t>
      </w:r>
      <w:r w:rsidDel="00000000" w:rsidR="00000000" w:rsidRPr="00000000">
        <w:rPr>
          <w:rFonts w:ascii="Cambria Math" w:cs="Cambria Math" w:eastAsia="Cambria Math" w:hAnsi="Cambria Math"/>
          <w:sz w:val="16"/>
          <w:szCs w:val="16"/>
          <w:vertAlign w:val="baseline"/>
          <w:rtl w:val="0"/>
        </w:rPr>
        <w:t xml:space="preserve">𝑑</w:t>
      </w:r>
      <w:r w:rsidDel="00000000" w:rsidR="00000000" w:rsidRPr="00000000">
        <w:rPr>
          <w:rFonts w:ascii="Cambria Math" w:cs="Cambria Math" w:eastAsia="Cambria Math" w:hAnsi="Cambria Math"/>
          <w:sz w:val="20"/>
          <w:szCs w:val="20"/>
          <w:vertAlign w:val="baseline"/>
          <w:rtl w:val="0"/>
        </w:rPr>
        <w:t xml:space="preserve">×7)/𝐷</w:t>
      </w:r>
      <w:r w:rsidDel="00000000" w:rsidR="00000000" w:rsidRPr="00000000">
        <w:rPr>
          <w:rFonts w:ascii="Cambria Math" w:cs="Cambria Math" w:eastAsia="Cambria Math" w:hAnsi="Cambria Math"/>
          <w:sz w:val="16"/>
          <w:szCs w:val="16"/>
          <w:vertAlign w:val="baseline"/>
          <w:rtl w:val="0"/>
        </w:rPr>
        <w:t xml:space="preserve">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mbria Math" w:cs="Cambria Math" w:eastAsia="Cambria Math" w:hAnsi="Cambria Math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mbria Math" w:cs="Cambria Math" w:eastAsia="Cambria Math" w:hAnsi="Cambria Math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Qc </w:t>
      </w:r>
      <w:r w:rsidDel="00000000" w:rsidR="00000000" w:rsidRPr="00000000">
        <w:rPr>
          <w:vertAlign w:val="baseline"/>
          <w:rtl w:val="0"/>
        </w:rPr>
        <w:t xml:space="preserve">= quantitativo de resíduos por dia de coleta, em toneladas 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Qd </w:t>
      </w:r>
      <w:r w:rsidDel="00000000" w:rsidR="00000000" w:rsidRPr="00000000">
        <w:rPr>
          <w:vertAlign w:val="baseline"/>
          <w:rtl w:val="0"/>
        </w:rPr>
        <w:t xml:space="preserve">= geração diária de resíduos, em toneladas = 16,41 ton.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 = número de dias da semana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Dc </w:t>
      </w:r>
      <w:r w:rsidDel="00000000" w:rsidR="00000000" w:rsidRPr="00000000">
        <w:rPr>
          <w:vertAlign w:val="baseline"/>
          <w:rtl w:val="0"/>
        </w:rPr>
        <w:t xml:space="preserve">= número de dias de coleta por semana = 6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Desta forma tem-se que o quantitativo de resíduos por dia de coleta é de 19,14 ton.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o quantitativo de resíduos por dia de coleta </w:t>
      </w:r>
      <w:r w:rsidDel="00000000" w:rsidR="00000000" w:rsidRPr="00000000">
        <w:rPr>
          <w:i w:val="1"/>
          <w:vertAlign w:val="baseline"/>
          <w:rtl w:val="0"/>
        </w:rPr>
        <w:t xml:space="preserve">Qc </w:t>
      </w:r>
      <w:r w:rsidDel="00000000" w:rsidR="00000000" w:rsidRPr="00000000">
        <w:rPr>
          <w:vertAlign w:val="baseline"/>
          <w:rtl w:val="0"/>
        </w:rPr>
        <w:t xml:space="preserve">e a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Capacidade de carga do caminhão de coleta </w:t>
      </w:r>
      <w:r w:rsidDel="00000000" w:rsidR="00000000" w:rsidRPr="00000000">
        <w:rPr>
          <w:i w:val="1"/>
          <w:vertAlign w:val="baseline"/>
          <w:rtl w:val="0"/>
        </w:rPr>
        <w:t xml:space="preserve">Cc</w:t>
      </w:r>
      <w:r w:rsidDel="00000000" w:rsidR="00000000" w:rsidRPr="00000000">
        <w:rPr>
          <w:vertAlign w:val="baseline"/>
          <w:rtl w:val="0"/>
        </w:rPr>
        <w:t xml:space="preserve">, estima-se o número total de cargas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Nc </w:t>
      </w:r>
      <w:r w:rsidDel="00000000" w:rsidR="00000000" w:rsidRPr="00000000">
        <w:rPr>
          <w:vertAlign w:val="baseline"/>
          <w:rtl w:val="0"/>
        </w:rPr>
        <w:t xml:space="preserve">por dia:</w:t>
      </w:r>
    </w:p>
    <w:p w:rsidR="00000000" w:rsidDel="00000000" w:rsidP="00000000" w:rsidRDefault="00000000" w:rsidRPr="00000000" w14:paraId="00000053">
      <w:pPr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vertAlign w:val="baseline"/>
          <w:rtl w:val="0"/>
        </w:rPr>
        <w:t xml:space="preserve">𝑁𝑐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Fonts w:ascii="Cambria Math" w:cs="Cambria Math" w:eastAsia="Cambria Math" w:hAnsi="Cambria Math"/>
          <w:vertAlign w:val="baseline"/>
          <w:rtl w:val="0"/>
        </w:rPr>
        <w:t xml:space="preserve">𝑄𝑐</w:t>
      </w:r>
      <w:r w:rsidDel="00000000" w:rsidR="00000000" w:rsidRPr="00000000">
        <w:rPr>
          <w:vertAlign w:val="baseline"/>
          <w:rtl w:val="0"/>
        </w:rPr>
        <w:t xml:space="preserve">/</w:t>
      </w:r>
      <w:r w:rsidDel="00000000" w:rsidR="00000000" w:rsidRPr="00000000">
        <w:rPr>
          <w:rFonts w:ascii="Cambria Math" w:cs="Cambria Math" w:eastAsia="Cambria Math" w:hAnsi="Cambria Math"/>
          <w:vertAlign w:val="baseline"/>
          <w:rtl w:val="0"/>
        </w:rPr>
        <w:t xml:space="preserve">𝐶𝑐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onde: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Nc </w:t>
      </w:r>
      <w:r w:rsidDel="00000000" w:rsidR="00000000" w:rsidRPr="00000000">
        <w:rPr>
          <w:vertAlign w:val="baseline"/>
          <w:rtl w:val="0"/>
        </w:rPr>
        <w:t xml:space="preserve">= Número total de cargas por dia de coleta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Qc </w:t>
      </w:r>
      <w:r w:rsidDel="00000000" w:rsidR="00000000" w:rsidRPr="00000000">
        <w:rPr>
          <w:vertAlign w:val="baseline"/>
          <w:rtl w:val="0"/>
        </w:rPr>
        <w:t xml:space="preserve">= Quantitativo de resíduos por dia de coleta, em toneladas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Cc </w:t>
      </w:r>
      <w:r w:rsidDel="00000000" w:rsidR="00000000" w:rsidRPr="00000000">
        <w:rPr>
          <w:vertAlign w:val="baseline"/>
          <w:rtl w:val="0"/>
        </w:rPr>
        <w:t xml:space="preserve">= Capacidade de carga do veículo de coleta, ton/carga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Número de cargas para caminhão de 15 m3 é igual a 3.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Mão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Salário dos coletores turno dia:</w:t>
      </w:r>
      <w:r w:rsidDel="00000000" w:rsidR="00000000" w:rsidRPr="00000000">
        <w:rPr>
          <w:vertAlign w:val="baseline"/>
          <w:rtl w:val="0"/>
        </w:rPr>
        <w:t xml:space="preserve"> Para cálculo do salário dos coletores turno dia foi considerada a convenção trabalhista SEEAC - RS - Convenção Coletiva do Trabalho 2019, MTE: RS 000092/2019, encontrado em www3.mte.gov.br/sistema/mediador, onde o valor salarial estimado para a categoria (CBO 5142) é igual a R$ 1.278,20, e adicional de insalubridade igual a 40%.</w:t>
      </w:r>
    </w:p>
    <w:p w:rsidR="00000000" w:rsidDel="00000000" w:rsidP="00000000" w:rsidRDefault="00000000" w:rsidRPr="00000000" w14:paraId="00000061">
      <w:pPr>
        <w:jc w:val="both"/>
        <w:rPr>
          <w:highlight w:val="whit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cálculo do salário dos motoristas foi considerado o Acordo do Sindicato dos Trabalhadores de Transportes Rodoviários de Bagé e SETCESUL - Proc. Nº 0020997-41.2018.5.04.000 RVDC, que estima o valor salarial mensal para a categoria igual a R$ 1604,00. Para cálculo do adicional de insalubridad</w:t>
      </w:r>
      <w:r w:rsidDel="00000000" w:rsidR="00000000" w:rsidRPr="00000000">
        <w:rPr>
          <w:highlight w:val="white"/>
          <w:vertAlign w:val="baseline"/>
          <w:rtl w:val="0"/>
        </w:rPr>
        <w:t xml:space="preserve">e foi considerado </w:t>
      </w:r>
      <w:r w:rsidDel="00000000" w:rsidR="00000000" w:rsidRPr="00000000">
        <w:rPr>
          <w:highlight w:val="white"/>
          <w:rtl w:val="0"/>
        </w:rPr>
        <w:t xml:space="preserve">40% tendo em vista que a convenção trabalhista local não estabelece este percentual</w:t>
      </w:r>
      <w:r w:rsidDel="00000000" w:rsidR="00000000" w:rsidRPr="00000000">
        <w:rPr>
          <w:highlight w:val="whit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Vale Transporte: </w:t>
      </w:r>
      <w:r w:rsidDel="00000000" w:rsidR="00000000" w:rsidRPr="00000000">
        <w:rPr>
          <w:vertAlign w:val="baseline"/>
          <w:rtl w:val="0"/>
        </w:rPr>
        <w:t xml:space="preserve">Para calcular o valor do vale-transporte foi considerado o um documento (em anexo) encaminhado pela empresa Viação Caçapava (que presta o serviço de transporte urbano no Município) que informa que o valor unitário do vale-transporte atualmente é de R$ 3,00.</w:t>
      </w:r>
    </w:p>
    <w:p w:rsidR="00000000" w:rsidDel="00000000" w:rsidP="00000000" w:rsidRDefault="00000000" w:rsidRPr="00000000" w14:paraId="00000064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Vale Refeição:</w:t>
      </w:r>
      <w:r w:rsidDel="00000000" w:rsidR="00000000" w:rsidRPr="00000000">
        <w:rPr>
          <w:vertAlign w:val="baseline"/>
          <w:rtl w:val="0"/>
        </w:rPr>
        <w:t xml:space="preserve"> Para cálculo do vale-refeição dos coletores foi considerado a convenção trabalhista SEEAC - RS - Convenção Coletiva do Trabalho 2019, MTE: RS 000092/2019, encontrado em www3.mte.gov.br/sistema/mediador, onde o valor salarial estimado para a categoria (CBO 5142) é igual a R$ 16,73/dia. Não foi considerado valor de vale refeição para os motoristas tendo em vista que a convenção trabalhista </w:t>
      </w:r>
      <w:r w:rsidDel="00000000" w:rsidR="00000000" w:rsidRPr="00000000">
        <w:rPr>
          <w:rtl w:val="0"/>
        </w:rPr>
        <w:t xml:space="preserve">local não estabelece esse valor.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Uniformes e Equipamentos de Proteção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calcular o gasto com uniformes e equipamentos de proteção individual foi realizado um levantamento de preço com pelo menos três orçamentos de cada item e foi calculada a média do valor de cada item, conforme mostra a tabela a seguir: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2.0" w:type="dxa"/>
        <w:jc w:val="left"/>
        <w:tblInd w:w="0.0" w:type="dxa"/>
        <w:tblLayout w:type="fixed"/>
        <w:tblLook w:val="0000"/>
      </w:tblPr>
      <w:tblGrid>
        <w:gridCol w:w="2376"/>
        <w:gridCol w:w="1843"/>
        <w:gridCol w:w="1701"/>
        <w:gridCol w:w="1559"/>
        <w:gridCol w:w="1853"/>
        <w:tblGridChange w:id="0">
          <w:tblGrid>
            <w:gridCol w:w="2376"/>
            <w:gridCol w:w="1843"/>
            <w:gridCol w:w="1701"/>
            <w:gridCol w:w="1559"/>
            <w:gridCol w:w="18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Loja 1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Loja 2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Loja 3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Média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Jaqueta com reflexivo (NBR 15.292)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44,96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Camiseta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20,48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9,15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11,68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Botina de segurança c/ palmilha de aço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67,66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Meia de algodão com cano alto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7,07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Capa de chuva amarela com reflexivo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26,50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Colete reflexivo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26,33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Luva de proteção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9,01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Protetor solar FPS 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12,80</w:t>
            </w:r>
          </w:p>
        </w:tc>
      </w:tr>
    </w:tbl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vertAlign w:val="baseline"/>
          <w:rtl w:val="0"/>
        </w:rPr>
        <w:t xml:space="preserve">Para calcular a vida útil dos uniformes e EPIs foi considerado a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vertAlign w:val="baseline"/>
          <w:rtl w:val="0"/>
        </w:rPr>
        <w:t xml:space="preserve">evista Proteção e também a Nota Técnica 146/</w:t>
      </w:r>
      <w:r w:rsidDel="00000000" w:rsidR="00000000" w:rsidRPr="00000000">
        <w:rPr>
          <w:rtl w:val="0"/>
        </w:rPr>
        <w:t xml:space="preserve">2015 do MTE.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Cálculo de consumo de combustíveis e óleos para manutenção: </w:t>
      </w:r>
      <w:r w:rsidDel="00000000" w:rsidR="00000000" w:rsidRPr="00000000">
        <w:rPr>
          <w:b w:val="0"/>
          <w:vertAlign w:val="baseline"/>
          <w:rtl w:val="0"/>
        </w:rPr>
        <w:t xml:space="preserve">Para o cálculo do valor de óleo diesel foi realizado três orçamentos no Município, sendo considerada a média entre os três valores.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2.0" w:type="dxa"/>
        <w:jc w:val="left"/>
        <w:tblInd w:w="0.0" w:type="dxa"/>
        <w:tblLayout w:type="fixed"/>
        <w:tblLook w:val="0000"/>
      </w:tblPr>
      <w:tblGrid>
        <w:gridCol w:w="2093"/>
        <w:gridCol w:w="1843"/>
        <w:gridCol w:w="1559"/>
        <w:gridCol w:w="1701"/>
        <w:gridCol w:w="2136"/>
        <w:tblGridChange w:id="0">
          <w:tblGrid>
            <w:gridCol w:w="2093"/>
            <w:gridCol w:w="1843"/>
            <w:gridCol w:w="1559"/>
            <w:gridCol w:w="1701"/>
            <w:gridCol w:w="21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Diesel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Valor do litro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3,579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3,624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3,564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Cálculo dos óleos para manutenção: </w:t>
      </w:r>
      <w:r w:rsidDel="00000000" w:rsidR="00000000" w:rsidRPr="00000000">
        <w:rPr>
          <w:b w:val="0"/>
          <w:vertAlign w:val="baseline"/>
          <w:rtl w:val="0"/>
        </w:rPr>
        <w:t xml:space="preserve">Para o cálculo do valor de óleos para manutenção foi realizado três orçamentos no Município, sendo considerada a média entre os três valores, para o cálculo do gasto foi considerado laudo emitido pelos servidores do cargo mecânico, onde foi considerado para óleo de motor </w:t>
      </w:r>
      <w:r w:rsidDel="00000000" w:rsidR="00000000" w:rsidRPr="00000000">
        <w:rPr>
          <w:rtl w:val="0"/>
        </w:rPr>
        <w:t xml:space="preserve">20 litros para cada 10.000 km rodados, uma troca anual de óleo de transmissão, uma troca anual de óleo hidráulico e 1,5 kg  de graxa a cada 874,37 km.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2.0" w:type="dxa"/>
        <w:jc w:val="left"/>
        <w:tblInd w:w="0.0" w:type="dxa"/>
        <w:tblLayout w:type="fixed"/>
        <w:tblLook w:val="0000"/>
      </w:tblPr>
      <w:tblGrid>
        <w:gridCol w:w="2802"/>
        <w:gridCol w:w="1559"/>
        <w:gridCol w:w="1843"/>
        <w:gridCol w:w="1559"/>
        <w:gridCol w:w="1569"/>
        <w:tblGridChange w:id="0">
          <w:tblGrid>
            <w:gridCol w:w="2802"/>
            <w:gridCol w:w="1559"/>
            <w:gridCol w:w="1843"/>
            <w:gridCol w:w="1559"/>
            <w:gridCol w:w="15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de motor para caminhão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17,55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de transmissão para caminhão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18,80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hidráulico para caminhão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30,24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28,04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Graxa para caminhão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23,22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Veículo: </w:t>
      </w:r>
      <w:r w:rsidDel="00000000" w:rsidR="00000000" w:rsidRPr="00000000">
        <w:rPr>
          <w:b w:val="0"/>
          <w:vertAlign w:val="baseline"/>
          <w:rtl w:val="0"/>
        </w:rPr>
        <w:t xml:space="preserve">Para calcular o valor do veículo foi considerado cinco possíveis tipos de veículos, desta forma buscou-se os valores dos mesmos na tabela FIPE e realizou-se a média entre os valores.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0.0" w:type="dxa"/>
        <w:jc w:val="left"/>
        <w:tblInd w:w="0.0" w:type="dxa"/>
        <w:tblLayout w:type="fixed"/>
        <w:tblLook w:val="0000"/>
      </w:tblPr>
      <w:tblGrid>
        <w:gridCol w:w="3227"/>
        <w:gridCol w:w="1559"/>
        <w:gridCol w:w="1276"/>
        <w:gridCol w:w="1984"/>
        <w:gridCol w:w="1534"/>
        <w:tblGridChange w:id="0">
          <w:tblGrid>
            <w:gridCol w:w="3227"/>
            <w:gridCol w:w="1559"/>
            <w:gridCol w:w="1276"/>
            <w:gridCol w:w="1984"/>
            <w:gridCol w:w="15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Modelo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Código FIPE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Preço Médio FIPE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Preço Médio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Cargo 1723 E Turbo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504138-4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223.640,00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Atego 1719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M.BENZ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509281-7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214.583,00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Atego 1729 S 2 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M.BENZ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509283-3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242.620,00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17-280 e Constellation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Volkswagen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515136-8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240.225,00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17-330 E Constellation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Volkswagen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515137-6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251.492,00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1.172.560,00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234.512,00</w:t>
            </w:r>
          </w:p>
        </w:tc>
      </w:tr>
    </w:tbl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Compactador: </w:t>
      </w:r>
      <w:r w:rsidDel="00000000" w:rsidR="00000000" w:rsidRPr="00000000">
        <w:rPr>
          <w:vertAlign w:val="baseline"/>
          <w:rtl w:val="0"/>
        </w:rPr>
        <w:t xml:space="preserve">Para referenciar o valor do compactador foi</w:t>
      </w:r>
      <w:r w:rsidDel="00000000" w:rsidR="00000000" w:rsidRPr="00000000">
        <w:rPr>
          <w:rtl w:val="0"/>
        </w:rPr>
        <w:t xml:space="preserve"> realizado levantamento de preço com três empresas.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04.0" w:type="dxa"/>
        <w:jc w:val="left"/>
        <w:tblInd w:w="0.0" w:type="dxa"/>
        <w:tblLayout w:type="fixed"/>
        <w:tblLook w:val="0000"/>
      </w:tblPr>
      <w:tblGrid>
        <w:gridCol w:w="1897"/>
        <w:gridCol w:w="1897"/>
        <w:gridCol w:w="1898"/>
        <w:gridCol w:w="1907"/>
        <w:gridCol w:w="1905"/>
        <w:tblGridChange w:id="0">
          <w:tblGrid>
            <w:gridCol w:w="1897"/>
            <w:gridCol w:w="1897"/>
            <w:gridCol w:w="1898"/>
            <w:gridCol w:w="1907"/>
            <w:gridCol w:w="19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Loja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Loja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Loja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Média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Compactador 15 m3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110.000,00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105.000,00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84.000,00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99.666,67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99.666,67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Ferramentas e Materiais de Consumo:</w:t>
      </w:r>
      <w:r w:rsidDel="00000000" w:rsidR="00000000" w:rsidRPr="00000000">
        <w:rPr>
          <w:vertAlign w:val="baseline"/>
          <w:rtl w:val="0"/>
        </w:rPr>
        <w:t xml:space="preserve"> Para </w:t>
      </w:r>
      <w:r w:rsidDel="00000000" w:rsidR="00000000" w:rsidRPr="00000000">
        <w:rPr>
          <w:rtl w:val="0"/>
        </w:rPr>
        <w:t xml:space="preserve">referenciar o valor gasto em ferramentas e materiais foi realizado três orçamentos dos itens utilizados, para referenciar a vida útil dos equipamentos foi considerado a Revista Proteção e também a Nota Técnica 146/2015 do MTE.</w:t>
      </w:r>
      <w:r w:rsidDel="00000000" w:rsidR="00000000" w:rsidRPr="00000000">
        <w:rPr>
          <w:rtl w:val="0"/>
        </w:rPr>
      </w:r>
    </w:p>
    <w:tbl>
      <w:tblPr>
        <w:tblStyle w:val="Table7"/>
        <w:tblW w:w="9580.0" w:type="dxa"/>
        <w:jc w:val="left"/>
        <w:tblInd w:w="0.0" w:type="dxa"/>
        <w:tblLayout w:type="fixed"/>
        <w:tblLook w:val="0000"/>
      </w:tblPr>
      <w:tblGrid>
        <w:gridCol w:w="2235"/>
        <w:gridCol w:w="1984"/>
        <w:gridCol w:w="1985"/>
        <w:gridCol w:w="1984"/>
        <w:gridCol w:w="1392"/>
        <w:tblGridChange w:id="0">
          <w:tblGrid>
            <w:gridCol w:w="2235"/>
            <w:gridCol w:w="1984"/>
            <w:gridCol w:w="1985"/>
            <w:gridCol w:w="1984"/>
            <w:gridCol w:w="13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Garrafa térmica 5 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30,63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Pá de concha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29,63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Vassoura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84,49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54,82</w:t>
            </w:r>
          </w:p>
        </w:tc>
      </w:tr>
    </w:tbl>
    <w:p w:rsidR="00000000" w:rsidDel="00000000" w:rsidP="00000000" w:rsidRDefault="00000000" w:rsidRPr="00000000" w14:paraId="000001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Implantação de monitoramento: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Para calcular o valor de referência do monitoramento de veículo foi realizado levantamento de preço no mercado, neste item encontrou-se dificuldade de realizar três orçamentos desta forma foi considerado dois orçamentos, o monitoramento deverá ocorrer em tempo real, acompanhando onde o veículo está, deverá mostrar em que horário ele passou em determinado endereço e a quantidade de km rodados entre duas datas e horários.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Ind w:w="0.0" w:type="dxa"/>
        <w:tblLayout w:type="fixed"/>
        <w:tblLook w:val="0000"/>
      </w:tblPr>
      <w:tblGrid>
        <w:gridCol w:w="2175"/>
        <w:gridCol w:w="1515"/>
        <w:gridCol w:w="1830"/>
        <w:gridCol w:w="1545"/>
        <w:gridCol w:w="2535"/>
        <w:tblGridChange w:id="0">
          <w:tblGrid>
            <w:gridCol w:w="2175"/>
            <w:gridCol w:w="1515"/>
            <w:gridCol w:w="1830"/>
            <w:gridCol w:w="1545"/>
            <w:gridCol w:w="25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Média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Valor para 2 veículos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Implantação de equipamentos de monitoramento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 dos equipamentos de monitoramento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102,50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205,00</w:t>
            </w:r>
          </w:p>
        </w:tc>
      </w:tr>
    </w:tbl>
    <w:p w:rsidR="00000000" w:rsidDel="00000000" w:rsidP="00000000" w:rsidRDefault="00000000" w:rsidRPr="00000000" w14:paraId="000001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b w:val="1"/>
          <w:rtl w:val="0"/>
        </w:rPr>
        <w:t xml:space="preserve">Pneus e Recapagens: </w:t>
      </w:r>
      <w:r w:rsidDel="00000000" w:rsidR="00000000" w:rsidRPr="00000000">
        <w:rPr>
          <w:rtl w:val="0"/>
        </w:rPr>
        <w:t xml:space="preserve">Para referenciar o valor gasto com pneus e recapagens foi realizado levantamento de preço dos itens e solicitado a durabilidade para os fornecedores: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9"/>
        <w:gridCol w:w="1559"/>
        <w:gridCol w:w="1559"/>
        <w:gridCol w:w="1559"/>
        <w:gridCol w:w="1559"/>
        <w:gridCol w:w="1559"/>
        <w:tblGridChange w:id="0">
          <w:tblGrid>
            <w:gridCol w:w="1559"/>
            <w:gridCol w:w="1559"/>
            <w:gridCol w:w="1559"/>
            <w:gridCol w:w="1559"/>
            <w:gridCol w:w="1559"/>
            <w:gridCol w:w="155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1 -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2 - 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3 - 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Durabilidade em km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Jogo de pneus 275x80x22,5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1.443,00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1.650,00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1.665,00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1.586,00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60.000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Recapagem de pneus 275x80x22,5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507,00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560,67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75.000</w:t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b w:val="1"/>
          <w:rtl w:val="0"/>
        </w:rPr>
        <w:t xml:space="preserve">Higienização de EPI: </w:t>
      </w:r>
      <w:r w:rsidDel="00000000" w:rsidR="00000000" w:rsidRPr="00000000">
        <w:rPr>
          <w:rtl w:val="0"/>
        </w:rPr>
        <w:t xml:space="preserve">Para cálculo do valor de referência do item higienização de EPI foi considerado três planilhas dos Municípios de Torres, São Jerônimo e Faxinal do Soturno, foi feito a média dos valores e foram corrigidos pelo índice IPCA 2019 igual a 4,25%.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0.8"/>
        <w:gridCol w:w="1870.8"/>
        <w:gridCol w:w="1870.8"/>
        <w:gridCol w:w="1870.8"/>
        <w:gridCol w:w="1870.8"/>
        <w:tblGridChange w:id="0">
          <w:tblGrid>
            <w:gridCol w:w="1870.8"/>
            <w:gridCol w:w="1870.8"/>
            <w:gridCol w:w="1870.8"/>
            <w:gridCol w:w="1870.8"/>
            <w:gridCol w:w="1870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Referência 1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Referência 2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Referência 3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 corrigida (R$)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Higienização EPI Coletor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95,56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Higienização EPI Motorista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71,23</w:t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Quanto ao item tributos PIS/COFINS foi utilizado valor igual a 3,65%, caso a empresa queira apresentar uma proposta superior a este valor deverá comprovar a alíquota efetiva dos últimos 12 meses.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Ao apresentar a proposta, com exceção dos tributos e remuneração de pessoal, a empresa poderá exceder o limite de até 5% nos demais itens, desde que não altere o valor global orçado na planilha.</w:t>
      </w:r>
    </w:p>
    <w:p w:rsidR="00000000" w:rsidDel="00000000" w:rsidP="00000000" w:rsidRDefault="00000000" w:rsidRPr="00000000" w14:paraId="000001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Este memorial descritivo possui seis páginas (de 0 a 5) numeradas e rubricadas.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/>
      </w:pPr>
      <w:r w:rsidDel="00000000" w:rsidR="00000000" w:rsidRPr="00000000">
        <w:rPr>
          <w:rtl w:val="0"/>
        </w:rPr>
        <w:t xml:space="preserve">Stener Camargo de Oliveira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  <w:t xml:space="preserve">Engenheiro Ambiental e Sanitarista</w:t>
      </w:r>
    </w:p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  <w:t xml:space="preserve">CREA-RS 225051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851" w:top="1134" w:left="1701" w:right="851" w:header="284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jc w:val="right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30900" cy="736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09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