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double" w:sz="12" w:space="0" w:color="000000"/>
          <w:left w:val="double" w:sz="12" w:space="4" w:color="000000"/>
          <w:bottom w:val="double" w:sz="12" w:space="1" w:color="000000"/>
          <w:right w:val="double" w:sz="12" w:space="3" w:color="000000"/>
        </w:pBdr>
        <w:shd w:val="clear" w:color="auto" w:fill="F5F5F5"/>
        <w:ind w:firstLine="284" w:right="140"/>
        <w:jc w:val="center"/>
        <w:rPr>
          <w:b/>
          <w:szCs w:val="26"/>
        </w:rPr>
      </w:pPr>
      <w:r>
        <w:rPr>
          <w:b/>
          <w:szCs w:val="26"/>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5"/>
          <w:szCs w:val="25"/>
        </w:rPr>
      </w:pPr>
      <w:r>
        <w:rPr>
          <w:b/>
          <w:sz w:val="25"/>
          <w:szCs w:val="25"/>
        </w:rPr>
        <w:t>EDITAL Nº 4035/2026</w:t>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5"/>
          <w:szCs w:val="25"/>
        </w:rPr>
      </w:pPr>
      <w:r>
        <w:rPr>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5"/>
          <w:szCs w:val="25"/>
        </w:rPr>
      </w:pPr>
      <w:r>
        <w:rPr>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5"/>
          <w:szCs w:val="25"/>
        </w:rPr>
      </w:pPr>
      <w:r>
        <w:rPr>
          <w:b/>
          <w:sz w:val="25"/>
          <w:szCs w:val="25"/>
        </w:rPr>
        <w:t>PREGÃO ELETRÔNICO Nº 02/2026</w:t>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5"/>
          <w:szCs w:val="25"/>
        </w:rPr>
      </w:pPr>
      <w:r>
        <w:rPr>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5"/>
          <w:szCs w:val="25"/>
        </w:rPr>
      </w:pPr>
      <w:r>
        <w:rPr>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5"/>
          <w:szCs w:val="25"/>
        </w:rPr>
      </w:pPr>
      <w:r>
        <w:rPr>
          <w:b/>
          <w:sz w:val="25"/>
          <w:szCs w:val="25"/>
        </w:rPr>
        <w:t>REGISTRO DE PREÇOS Nº 01/2026</w:t>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both"/>
        <w:rPr>
          <w:b/>
          <w:color w:val="FF0000"/>
          <w:sz w:val="25"/>
          <w:szCs w:val="25"/>
        </w:rPr>
      </w:pPr>
      <w:r>
        <w:rPr>
          <w:b/>
          <w:color w:val="FF0000"/>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both"/>
        <w:rPr>
          <w:b/>
          <w:sz w:val="25"/>
          <w:szCs w:val="25"/>
        </w:rPr>
      </w:pPr>
      <w:r>
        <w:rPr>
          <w:b/>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b/>
          <w:bCs/>
          <w:sz w:val="25"/>
          <w:szCs w:val="25"/>
          <w:u w:val="single"/>
        </w:rPr>
        <w:t>OBJETO:</w:t>
      </w:r>
      <w:r>
        <w:rPr>
          <w:b/>
          <w:sz w:val="25"/>
          <w:szCs w:val="25"/>
        </w:rPr>
        <w:t xml:space="preserve"> Registro de Preço para contratação de empresa especializada para eventual prestação de serviços de corte de grama e rastelagem (corte e remoção de grama/mato de áreas verdes, incluindo fornecimento de mão de obra, insumos, equipamentos necessários e adequados para perfeita execução dos serviços) para manutenção e conservação dos Módulos Esportivos e Escolas que compõem a Rede Municipal de Ensino e estão vinculados a Secretaria de Município da Educação, Esportes e Lazer (SMEEL).</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Cs/>
          <w:sz w:val="25"/>
          <w:szCs w:val="25"/>
        </w:rPr>
      </w:pPr>
      <w:r>
        <w:rPr>
          <w:bCs/>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bCs/>
          <w:sz w:val="25"/>
          <w:szCs w:val="25"/>
        </w:rPr>
        <w:t xml:space="preserve">INÍCIO DE RECEBIMENTO DE PROPOSTAS: </w:t>
      </w:r>
      <w:r>
        <w:rPr>
          <w:b/>
          <w:bCs/>
          <w:sz w:val="25"/>
          <w:szCs w:val="25"/>
        </w:rPr>
        <w:t xml:space="preserve">Dia </w:t>
      </w:r>
      <w:r>
        <w:rPr>
          <w:b/>
          <w:bCs/>
          <w:color w:val="000000"/>
          <w:sz w:val="25"/>
          <w:szCs w:val="25"/>
        </w:rPr>
        <w:t xml:space="preserve">05/02/2026 </w:t>
      </w:r>
      <w:r>
        <w:rPr>
          <w:b/>
          <w:bCs/>
          <w:sz w:val="25"/>
          <w:szCs w:val="25"/>
        </w:rPr>
        <w:t>– 08h</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5"/>
          <w:szCs w:val="25"/>
        </w:rPr>
      </w:pPr>
      <w:r>
        <w:rPr>
          <w:b/>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bCs/>
          <w:sz w:val="25"/>
          <w:szCs w:val="25"/>
        </w:rPr>
        <w:t>LIMITE PARA RECEBIMENTO DE PROPOSTAS:</w:t>
      </w:r>
      <w:r>
        <w:rPr>
          <w:b/>
          <w:sz w:val="25"/>
          <w:szCs w:val="25"/>
        </w:rPr>
        <w:t xml:space="preserve"> Dia </w:t>
      </w:r>
      <w:r>
        <w:rPr>
          <w:b/>
          <w:color w:val="000000"/>
          <w:sz w:val="25"/>
          <w:szCs w:val="25"/>
        </w:rPr>
        <w:t xml:space="preserve">24/02/2026 </w:t>
      </w:r>
      <w:r>
        <w:rPr>
          <w:b/>
          <w:sz w:val="25"/>
          <w:szCs w:val="25"/>
        </w:rPr>
        <w:t>– 08h30min</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5"/>
          <w:szCs w:val="25"/>
        </w:rPr>
      </w:pPr>
      <w:r>
        <w:rPr>
          <w:b/>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sz w:val="25"/>
          <w:szCs w:val="25"/>
        </w:rPr>
        <w:t>ABERTURA DAS PROPOSTAS</w:t>
      </w:r>
      <w:r>
        <w:rPr>
          <w:bCs/>
          <w:sz w:val="25"/>
          <w:szCs w:val="25"/>
        </w:rPr>
        <w:t xml:space="preserve">: </w:t>
      </w:r>
      <w:r>
        <w:rPr>
          <w:b/>
          <w:sz w:val="25"/>
          <w:szCs w:val="25"/>
        </w:rPr>
        <w:t xml:space="preserve">Dia </w:t>
      </w:r>
      <w:r>
        <w:rPr>
          <w:b/>
          <w:color w:val="000000"/>
          <w:sz w:val="25"/>
          <w:szCs w:val="25"/>
        </w:rPr>
        <w:t xml:space="preserve">24/02/2026 </w:t>
      </w:r>
      <w:r>
        <w:rPr>
          <w:b/>
          <w:sz w:val="25"/>
          <w:szCs w:val="25"/>
        </w:rPr>
        <w:t>– 08h30min</w:t>
      </w:r>
    </w:p>
    <w:p>
      <w:pPr>
        <w:pStyle w:val="Normal"/>
        <w:pBdr>
          <w:top w:val="double" w:sz="12" w:space="0" w:color="000000"/>
          <w:left w:val="double" w:sz="12" w:space="4" w:color="000000"/>
          <w:bottom w:val="double" w:sz="12" w:space="1" w:color="000000"/>
          <w:right w:val="double" w:sz="12" w:space="3" w:color="000000"/>
        </w:pBdr>
        <w:shd w:val="clear" w:color="auto" w:fill="EFEFEF"/>
        <w:tabs>
          <w:tab w:val="clear" w:pos="708"/>
          <w:tab w:val="left" w:pos="6360" w:leader="none"/>
        </w:tabs>
        <w:ind w:right="140"/>
        <w:jc w:val="both"/>
        <w:rPr>
          <w:bCs/>
          <w:sz w:val="25"/>
          <w:szCs w:val="25"/>
        </w:rPr>
      </w:pPr>
      <w:r>
        <w:rPr>
          <w:bCs/>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bCs/>
          <w:sz w:val="25"/>
          <w:szCs w:val="25"/>
        </w:rPr>
        <w:t>INÍCIO DA SESSÃO DE DISPUTA:</w:t>
      </w:r>
      <w:r>
        <w:rPr>
          <w:b/>
          <w:sz w:val="25"/>
          <w:szCs w:val="25"/>
        </w:rPr>
        <w:t xml:space="preserve"> Dia </w:t>
      </w:r>
      <w:r>
        <w:rPr>
          <w:b/>
          <w:color w:val="000000"/>
          <w:sz w:val="25"/>
          <w:szCs w:val="25"/>
        </w:rPr>
        <w:t>24/02/2026</w:t>
      </w:r>
      <w:r>
        <w:rPr>
          <w:b/>
          <w:sz w:val="25"/>
          <w:szCs w:val="25"/>
        </w:rPr>
        <w:t xml:space="preserve"> – 09h</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5"/>
          <w:szCs w:val="25"/>
        </w:rPr>
      </w:pPr>
      <w:r>
        <w:rPr>
          <w:b/>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5"/>
          <w:szCs w:val="25"/>
        </w:rPr>
      </w:pPr>
      <w:r>
        <w:rPr>
          <w:sz w:val="25"/>
          <w:szCs w:val="25"/>
        </w:rPr>
        <w:t xml:space="preserve">LOCAL: </w:t>
      </w:r>
      <w:r>
        <w:rPr>
          <w:b/>
          <w:sz w:val="25"/>
          <w:szCs w:val="25"/>
        </w:rPr>
        <w:t xml:space="preserve">PREFEITURA MUNICIPAL DE CAÇAPAVA DO SUL, no seguinte endereço eletrônico: </w:t>
      </w:r>
      <w:hyperlink r:id="rId2">
        <w:r>
          <w:rPr>
            <w:rStyle w:val="Hyperlink"/>
            <w:b/>
            <w:sz w:val="25"/>
            <w:szCs w:val="25"/>
          </w:rPr>
          <w:t>www.pregaobanrisul.com.br</w:t>
        </w:r>
      </w:hyperlink>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5"/>
          <w:szCs w:val="25"/>
        </w:rPr>
      </w:pPr>
      <w:r>
        <w:rPr>
          <w:b/>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sz w:val="25"/>
          <w:szCs w:val="25"/>
        </w:rPr>
        <w:t>REFERÊNCIA DE TEMPO: para todas as referências de tempo será observado o horário de Brasília (DF).</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sz w:val="25"/>
          <w:szCs w:val="25"/>
        </w:rPr>
        <w:t xml:space="preserve">MODO DE DISPUTA: </w:t>
      </w:r>
      <w:r>
        <w:rPr>
          <w:b/>
          <w:sz w:val="25"/>
          <w:szCs w:val="25"/>
        </w:rPr>
        <w:t>ABERTO</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5"/>
          <w:szCs w:val="25"/>
        </w:rPr>
      </w:pPr>
      <w:r>
        <w:rPr>
          <w:b/>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sz w:val="25"/>
          <w:szCs w:val="25"/>
        </w:rPr>
        <w:t xml:space="preserve">PRAZO DE VALIDADE DA PROPOSTA: </w:t>
      </w:r>
      <w:r>
        <w:rPr>
          <w:b/>
          <w:sz w:val="25"/>
          <w:szCs w:val="25"/>
        </w:rPr>
        <w:t>MÍNIMO 60 DIAS</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5"/>
          <w:szCs w:val="25"/>
        </w:rPr>
      </w:pPr>
      <w:r>
        <w:rPr>
          <w:b/>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sz w:val="25"/>
          <w:szCs w:val="25"/>
        </w:rPr>
        <w:t xml:space="preserve">CRITÉRIO DE JULGAMENTO: </w:t>
      </w:r>
      <w:r>
        <w:rPr>
          <w:b/>
          <w:sz w:val="25"/>
          <w:szCs w:val="25"/>
        </w:rPr>
        <w:t>MENOR PREÇO POR ITEM</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5"/>
          <w:szCs w:val="25"/>
        </w:rPr>
      </w:pPr>
      <w:r>
        <w:rPr>
          <w:b/>
          <w:sz w:val="25"/>
          <w:szCs w:val="25"/>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5"/>
          <w:szCs w:val="25"/>
        </w:rPr>
      </w:pPr>
      <w:r>
        <w:rPr>
          <w:sz w:val="25"/>
          <w:szCs w:val="25"/>
        </w:rPr>
        <w:t xml:space="preserve">CONDIÇÕES DE PAGAMENTO: </w:t>
      </w:r>
      <w:r>
        <w:rPr>
          <w:b/>
          <w:sz w:val="25"/>
          <w:szCs w:val="25"/>
        </w:rPr>
        <w:t>ITEM 12 DESTE EDITAL</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rPr>
          <w:sz w:val="25"/>
          <w:szCs w:val="25"/>
        </w:rPr>
      </w:pPr>
      <w:r>
        <w:rPr>
          <w:sz w:val="25"/>
          <w:szCs w:val="25"/>
        </w:rPr>
      </w:r>
    </w:p>
    <w:p>
      <w:pPr>
        <w:pStyle w:val="Normal"/>
        <w:ind w:firstLine="284" w:right="140"/>
        <w:jc w:val="both"/>
        <w:rPr>
          <w:b/>
          <w:sz w:val="25"/>
          <w:szCs w:val="25"/>
        </w:rPr>
      </w:pPr>
      <w:r>
        <w:rPr>
          <w:b/>
          <w:sz w:val="25"/>
          <w:szCs w:val="25"/>
        </w:rPr>
      </w:r>
    </w:p>
    <w:p>
      <w:pPr>
        <w:pStyle w:val="Normal"/>
        <w:ind w:firstLine="284" w:right="140"/>
        <w:jc w:val="both"/>
        <w:rPr>
          <w:b/>
          <w:sz w:val="25"/>
          <w:szCs w:val="25"/>
        </w:rPr>
      </w:pPr>
      <w:r>
        <w:rPr>
          <w:b/>
          <w:sz w:val="25"/>
          <w:szCs w:val="25"/>
        </w:rPr>
      </w:r>
    </w:p>
    <w:p>
      <w:pPr>
        <w:pStyle w:val="Normal"/>
        <w:ind w:firstLine="284" w:right="140"/>
        <w:jc w:val="both"/>
        <w:rPr>
          <w:b/>
          <w:sz w:val="25"/>
          <w:szCs w:val="25"/>
        </w:rPr>
      </w:pPr>
      <w:r>
        <w:rPr>
          <w:b/>
          <w:sz w:val="25"/>
          <w:szCs w:val="25"/>
        </w:rPr>
      </w:r>
    </w:p>
    <w:p>
      <w:pPr>
        <w:pStyle w:val="Normal"/>
        <w:ind w:firstLine="284" w:right="140"/>
        <w:jc w:val="both"/>
        <w:rPr>
          <w:b/>
          <w:sz w:val="25"/>
          <w:szCs w:val="25"/>
        </w:rPr>
      </w:pPr>
      <w:r>
        <w:rPr>
          <w:b/>
          <w:sz w:val="25"/>
          <w:szCs w:val="25"/>
        </w:rPr>
      </w:r>
    </w:p>
    <w:p>
      <w:pPr>
        <w:pStyle w:val="Normal"/>
        <w:ind w:firstLine="284" w:right="140"/>
        <w:jc w:val="both"/>
        <w:rPr>
          <w:b/>
          <w:sz w:val="25"/>
          <w:szCs w:val="25"/>
        </w:rPr>
      </w:pPr>
      <w:r>
        <w:rPr>
          <w:b/>
          <w:sz w:val="25"/>
          <w:szCs w:val="25"/>
        </w:rPr>
      </w:r>
    </w:p>
    <w:p>
      <w:pPr>
        <w:pStyle w:val="Normal"/>
        <w:ind w:firstLine="284" w:right="140"/>
        <w:jc w:val="both"/>
        <w:rPr>
          <w:b/>
          <w:sz w:val="25"/>
          <w:szCs w:val="25"/>
        </w:rPr>
      </w:pPr>
      <w:r>
        <w:rPr>
          <w:b/>
          <w:sz w:val="25"/>
          <w:szCs w:val="25"/>
        </w:rPr>
      </w:r>
    </w:p>
    <w:p>
      <w:pPr>
        <w:pStyle w:val="Normal"/>
        <w:ind w:firstLine="284" w:right="140"/>
        <w:jc w:val="both"/>
        <w:rPr>
          <w:b/>
          <w:sz w:val="25"/>
          <w:szCs w:val="25"/>
        </w:rPr>
      </w:pPr>
      <w:r>
        <w:rPr>
          <w:b/>
          <w:sz w:val="25"/>
          <w:szCs w:val="25"/>
        </w:rPr>
      </w:r>
    </w:p>
    <w:p>
      <w:pPr>
        <w:pStyle w:val="Normal"/>
        <w:ind w:firstLine="284" w:right="140"/>
        <w:jc w:val="both"/>
        <w:rPr>
          <w:b/>
          <w:sz w:val="25"/>
          <w:szCs w:val="25"/>
        </w:rPr>
      </w:pPr>
      <w:r>
        <w:rPr>
          <w:b/>
          <w:sz w:val="25"/>
          <w:szCs w:val="25"/>
        </w:rPr>
      </w:r>
    </w:p>
    <w:p>
      <w:pPr>
        <w:pStyle w:val="Normal"/>
        <w:ind w:firstLine="283" w:right="142"/>
        <w:jc w:val="both"/>
        <w:rPr>
          <w:sz w:val="25"/>
          <w:szCs w:val="25"/>
        </w:rPr>
      </w:pPr>
      <w:r>
        <w:rPr>
          <w:b/>
          <w:sz w:val="25"/>
          <w:szCs w:val="25"/>
        </w:rPr>
        <w:t>A PREFEITURA MUNICIPAL DE CAÇAPAVA DO SUL</w:t>
      </w:r>
      <w:r>
        <w:rPr>
          <w:sz w:val="25"/>
          <w:szCs w:val="25"/>
        </w:rPr>
        <w:t xml:space="preserve">, torna público que realizará licitação na modalidade </w:t>
      </w:r>
      <w:r>
        <w:rPr>
          <w:b/>
          <w:bCs/>
          <w:sz w:val="25"/>
          <w:szCs w:val="25"/>
        </w:rPr>
        <w:t>PREGÃO ELETRÔNICO</w:t>
      </w:r>
      <w:r>
        <w:rPr>
          <w:sz w:val="25"/>
          <w:szCs w:val="25"/>
        </w:rPr>
        <w:t xml:space="preserve">, tipo </w:t>
      </w:r>
      <w:r>
        <w:rPr>
          <w:b/>
          <w:sz w:val="25"/>
          <w:szCs w:val="25"/>
        </w:rPr>
        <w:t xml:space="preserve">MENOR PREÇO POR ITEM, </w:t>
      </w:r>
      <w:r>
        <w:rPr>
          <w:bCs/>
          <w:sz w:val="25"/>
          <w:szCs w:val="25"/>
        </w:rPr>
        <w:t xml:space="preserve">regido pela Lei nº 14.133/2021 de 1º de abril de 2021, regulamentada pelo Decreto Municipal nº 5.215/2023, </w:t>
      </w:r>
      <w:r>
        <w:rPr>
          <w:b/>
          <w:sz w:val="25"/>
          <w:szCs w:val="25"/>
        </w:rPr>
        <w:t xml:space="preserve">visando a contratação de empresa especializada para eventual prestação de serviços de corte grama e rastelagem (corte e remoção de grama/mato de áreas verdes, incluindo fornecimento de mão de obra, insumos, equipamentos necessários e adequados para perfeita execução dos serviços) para manutenção e conservação dos Módulos Esportivos e Escolas que compõem a Rede Municipal de Ensino e estão vinculados a Secretaria de Município da Educação, Esportes e Lazer (SMEEL), </w:t>
      </w:r>
      <w:r>
        <w:rPr>
          <w:sz w:val="25"/>
          <w:szCs w:val="25"/>
        </w:rPr>
        <w:t xml:space="preserve">conforme especificações descritas no </w:t>
      </w:r>
      <w:r>
        <w:rPr>
          <w:b/>
          <w:sz w:val="25"/>
          <w:szCs w:val="25"/>
        </w:rPr>
        <w:t>Objeto, Termo de Referência e demais anexos partes integrantes deste Edital.</w:t>
      </w:r>
    </w:p>
    <w:p>
      <w:pPr>
        <w:pStyle w:val="Normal"/>
        <w:ind w:firstLine="284" w:right="140"/>
        <w:jc w:val="both"/>
        <w:rPr>
          <w:sz w:val="25"/>
          <w:szCs w:val="25"/>
        </w:rPr>
      </w:pPr>
      <w:r>
        <w:rPr>
          <w:sz w:val="25"/>
          <w:szCs w:val="25"/>
        </w:rPr>
      </w:r>
    </w:p>
    <w:p>
      <w:pPr>
        <w:pStyle w:val="Normal"/>
        <w:ind w:firstLine="284" w:right="140"/>
        <w:jc w:val="both"/>
        <w:rPr>
          <w:sz w:val="25"/>
          <w:szCs w:val="25"/>
        </w:rPr>
      </w:pPr>
      <w:r>
        <w:rPr>
          <w:sz w:val="25"/>
          <w:szCs w:val="25"/>
        </w:rPr>
        <w:t xml:space="preserve">É assegurada a participação exclusiva de Microempresas (ME) </w:t>
      </w:r>
      <w:r>
        <w:rPr>
          <w:rStyle w:val="Hyperlink"/>
          <w:color w:val="auto"/>
          <w:spacing w:val="-2"/>
          <w:sz w:val="25"/>
          <w:szCs w:val="25"/>
          <w:u w:val="none"/>
        </w:rPr>
        <w:t xml:space="preserve">e Empresas de Pequeno Porte (EPP), </w:t>
      </w:r>
      <w:r>
        <w:rPr>
          <w:sz w:val="25"/>
          <w:szCs w:val="25"/>
        </w:rPr>
        <w:t xml:space="preserve">com exceção do item 2 que estará disponível a todas as Empresas (ampla concorrência) </w:t>
      </w:r>
      <w:r>
        <w:rPr>
          <w:rStyle w:val="Hyperlink"/>
          <w:color w:val="auto"/>
          <w:spacing w:val="-2"/>
          <w:sz w:val="25"/>
          <w:szCs w:val="25"/>
          <w:u w:val="none"/>
        </w:rPr>
        <w:t>conforme dispõe a Lei Complementar n° 123/2006 e suas alterações</w:t>
      </w:r>
      <w:r>
        <w:rPr>
          <w:sz w:val="25"/>
          <w:szCs w:val="25"/>
        </w:rPr>
        <w:t>.</w:t>
      </w:r>
    </w:p>
    <w:p>
      <w:pPr>
        <w:pStyle w:val="Normal"/>
        <w:ind w:firstLine="284" w:right="140"/>
        <w:jc w:val="both"/>
        <w:rPr>
          <w:color w:val="000000"/>
          <w:sz w:val="25"/>
          <w:szCs w:val="25"/>
        </w:rPr>
      </w:pPr>
      <w:r>
        <w:rPr>
          <w:color w:val="000000"/>
          <w:sz w:val="25"/>
          <w:szCs w:val="25"/>
        </w:rPr>
      </w:r>
    </w:p>
    <w:p>
      <w:pPr>
        <w:pStyle w:val="Normal"/>
        <w:ind w:firstLine="284" w:right="140"/>
        <w:jc w:val="both"/>
        <w:rPr>
          <w:sz w:val="25"/>
          <w:szCs w:val="25"/>
        </w:rPr>
      </w:pPr>
      <w:r>
        <w:rPr>
          <w:b/>
          <w:bCs/>
          <w:sz w:val="25"/>
          <w:szCs w:val="25"/>
        </w:rPr>
        <w:t>1 – DO OBJETO:</w:t>
      </w:r>
    </w:p>
    <w:p>
      <w:pPr>
        <w:pStyle w:val="Default"/>
        <w:ind w:firstLine="284" w:right="140"/>
        <w:jc w:val="both"/>
        <w:rPr>
          <w:rFonts w:ascii="Times New Roman" w:hAnsi="Times New Roman" w:cs="Times New Roman"/>
          <w:bCs/>
          <w:sz w:val="25"/>
          <w:szCs w:val="25"/>
        </w:rPr>
      </w:pPr>
      <w:r>
        <w:rPr>
          <w:rFonts w:cs="Times New Roman" w:ascii="Times New Roman" w:hAnsi="Times New Roman"/>
          <w:b/>
          <w:sz w:val="25"/>
          <w:szCs w:val="25"/>
        </w:rPr>
        <w:t>1.1</w:t>
      </w:r>
      <w:r>
        <w:rPr>
          <w:rFonts w:cs="Times New Roman" w:ascii="Times New Roman" w:hAnsi="Times New Roman"/>
          <w:sz w:val="25"/>
          <w:szCs w:val="25"/>
        </w:rPr>
        <w:tab/>
        <w:t xml:space="preserve">O objeto do presente processo licitatório visa selecionar propostas para comporem a Ata de </w:t>
      </w:r>
      <w:r>
        <w:rPr>
          <w:rFonts w:cs="Times New Roman" w:ascii="Times New Roman" w:hAnsi="Times New Roman"/>
          <w:b/>
          <w:sz w:val="25"/>
          <w:szCs w:val="25"/>
        </w:rPr>
        <w:t>Registro de Preços visando a contratação de empresa especializada para eventual prestação de serviços de corte grama e rastelagem (corte e remoção de grama/mato de áreas verdes, incluindo fornecimento de mão de obra, insumos, equipamentos necessários e adequados para perfeita execução dos serviços) para manutenção e conservação dos Módulos Esportivos e Escolas que compõem a Rede Municipal de Ensino e estão vinculados a Secretaria de Município da Educação, Esportes e Lazer (SMEEL)</w:t>
      </w:r>
      <w:r>
        <w:rPr>
          <w:rFonts w:cs="Times New Roman" w:ascii="Times New Roman" w:hAnsi="Times New Roman"/>
          <w:sz w:val="25"/>
          <w:szCs w:val="25"/>
        </w:rPr>
        <w:t xml:space="preserve">, conforme descrição e quantidades estimadas abaixo e no </w:t>
      </w:r>
      <w:r>
        <w:rPr>
          <w:rFonts w:cs="Times New Roman" w:ascii="Times New Roman" w:hAnsi="Times New Roman"/>
          <w:b/>
          <w:bCs/>
          <w:sz w:val="25"/>
          <w:szCs w:val="25"/>
        </w:rPr>
        <w:t xml:space="preserve">Anexo I (Termo de Referência) </w:t>
      </w:r>
      <w:r>
        <w:rPr>
          <w:rFonts w:cs="Times New Roman" w:ascii="Times New Roman" w:hAnsi="Times New Roman"/>
          <w:bCs/>
          <w:sz w:val="25"/>
          <w:szCs w:val="25"/>
        </w:rPr>
        <w:t>parte integrante deste Edital:</w:t>
      </w:r>
    </w:p>
    <w:p>
      <w:pPr>
        <w:pStyle w:val="Default"/>
        <w:rPr>
          <w:b/>
        </w:rPr>
      </w:pPr>
      <w:r>
        <w:rPr>
          <w:b/>
        </w:rPr>
      </w:r>
    </w:p>
    <w:p>
      <w:pPr>
        <w:pStyle w:val="Default"/>
        <w:rPr>
          <w:b/>
        </w:rPr>
      </w:pPr>
      <w:r>
        <w:rPr>
          <w:b/>
        </w:rPr>
      </w:r>
    </w:p>
    <w:tbl>
      <w:tblPr>
        <w:tblW w:w="9570" w:type="dxa"/>
        <w:jc w:val="left"/>
        <w:tblInd w:w="-140" w:type="dxa"/>
        <w:tblLayout w:type="fixed"/>
        <w:tblCellMar>
          <w:top w:w="55" w:type="dxa"/>
          <w:left w:w="55" w:type="dxa"/>
          <w:bottom w:w="55" w:type="dxa"/>
          <w:right w:w="55" w:type="dxa"/>
        </w:tblCellMar>
        <w:tblLook w:firstRow="1" w:noVBand="1" w:lastRow="0" w:firstColumn="1" w:lastColumn="0" w:noHBand="0" w:val="04a0"/>
      </w:tblPr>
      <w:tblGrid>
        <w:gridCol w:w="667"/>
        <w:gridCol w:w="6331"/>
        <w:gridCol w:w="1214"/>
        <w:gridCol w:w="1357"/>
      </w:tblGrid>
      <w:tr>
        <w:trPr/>
        <w:tc>
          <w:tcPr>
            <w:tcW w:w="667"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b/>
                <w:bCs/>
                <w:color w:val="000000"/>
                <w:sz w:val="25"/>
                <w:szCs w:val="25"/>
              </w:rPr>
              <w:t>Item</w:t>
            </w:r>
          </w:p>
        </w:tc>
        <w:tc>
          <w:tcPr>
            <w:tcW w:w="6331"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b/>
                <w:bCs/>
                <w:color w:val="000000"/>
                <w:sz w:val="25"/>
                <w:szCs w:val="25"/>
              </w:rPr>
              <w:t>Descrição</w:t>
            </w:r>
          </w:p>
        </w:tc>
        <w:tc>
          <w:tcPr>
            <w:tcW w:w="1214"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b/>
                <w:bCs/>
                <w:sz w:val="25"/>
                <w:szCs w:val="25"/>
              </w:rPr>
              <w:t>Unidade de Medida</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b/>
                <w:bCs/>
                <w:color w:val="000000"/>
                <w:sz w:val="25"/>
                <w:szCs w:val="25"/>
              </w:rPr>
              <w:t>Quant.</w:t>
            </w:r>
          </w:p>
          <w:p>
            <w:pPr>
              <w:pStyle w:val="Contedodatabela"/>
              <w:jc w:val="center"/>
              <w:rPr>
                <w:rFonts w:ascii="Times New Roman" w:hAnsi="Times New Roman"/>
                <w:sz w:val="25"/>
                <w:szCs w:val="25"/>
              </w:rPr>
            </w:pPr>
            <w:r>
              <w:rPr>
                <w:rFonts w:ascii="Times New Roman" w:hAnsi="Times New Roman"/>
                <w:b/>
                <w:bCs/>
                <w:color w:val="000000"/>
                <w:sz w:val="25"/>
                <w:szCs w:val="25"/>
              </w:rPr>
              <w:t>Estimada</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01</w:t>
            </w:r>
          </w:p>
        </w:tc>
        <w:tc>
          <w:tcPr>
            <w:tcW w:w="6331"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Corte de grama e roçada de vegetação leve: grama alta, capim, arbustos (até 1,5 m de altura), inclusive com remoção do material resultante do corte e/ou roçada (com fornecimento do transporte e equipamentos necessários para o descarte correto dos resíduos), bem como com o fornecimento dos equipamentos (roçadeiras manuais) e equipamentos de proteção individual, e os insumos necessários para o funcionamento dos equipamentos.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b/>
                <w:sz w:val="25"/>
                <w:szCs w:val="25"/>
              </w:rPr>
            </w:pPr>
            <w:r>
              <w:rPr>
                <w:rFonts w:ascii="Times New Roman" w:hAnsi="Times New Roman"/>
                <w:b/>
                <w:sz w:val="25"/>
                <w:szCs w:val="25"/>
              </w:rPr>
              <w:t>Item Exclusivo ME/EPP</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245.000</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color w:val="000000"/>
                <w:sz w:val="25"/>
                <w:szCs w:val="25"/>
              </w:rPr>
            </w:pPr>
            <w:r>
              <w:rPr>
                <w:rFonts w:ascii="Times New Roman" w:hAnsi="Times New Roman"/>
                <w:color w:val="000000"/>
                <w:sz w:val="25"/>
                <w:szCs w:val="25"/>
              </w:rPr>
              <w:t>02</w:t>
            </w:r>
          </w:p>
        </w:tc>
        <w:tc>
          <w:tcPr>
            <w:tcW w:w="6331"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Corte de grama e roçada de vegetação leve: grama alta, capim, arbustos (até 1,5 m de altura), inclusive com remoção do material resultante do corte e/ou roçada (com fornecimento do transporte e equipamentos necessários para o descarte correto dos resíduos), bem como com o fornecimento dos equipamentos (roçadeiras manuais) e equipamentos de proteção individual, e os insumos necessários para o funcionamento dos equipamentos.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sz w:val="25"/>
                <w:szCs w:val="25"/>
              </w:rPr>
            </w:pPr>
            <w:r>
              <w:rPr>
                <w:rFonts w:ascii="Times New Roman" w:hAnsi="Times New Roman"/>
                <w:b/>
                <w:sz w:val="25"/>
                <w:szCs w:val="25"/>
              </w:rPr>
              <w:t>Item Ampla Concorrência</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735.000</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03</w:t>
            </w:r>
          </w:p>
        </w:tc>
        <w:tc>
          <w:tcPr>
            <w:tcW w:w="6331"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Capina e limpeza de canteiros, pista e jardineiras, incluindo ferramentas e materiais para a execução dos serviços, inclusive com remoção do material resultante da capina e limpeza de canteiros (com fornecimento do transporte e equipamentos necessários para o descarte correto dos resíduos).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sz w:val="25"/>
                <w:szCs w:val="25"/>
              </w:rPr>
            </w:pPr>
            <w:r>
              <w:rPr>
                <w:rFonts w:ascii="Times New Roman" w:hAnsi="Times New Roman"/>
                <w:b/>
                <w:sz w:val="25"/>
                <w:szCs w:val="25"/>
              </w:rPr>
              <w:t>Item Exclusivo ME/EPP</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150.000</w:t>
            </w:r>
          </w:p>
        </w:tc>
      </w:tr>
    </w:tbl>
    <w:p>
      <w:pPr>
        <w:pStyle w:val="Normal"/>
        <w:spacing w:lineRule="auto" w:line="360"/>
        <w:jc w:val="both"/>
        <w:rPr>
          <w:color w:val="000000"/>
          <w:sz w:val="20"/>
          <w:szCs w:val="20"/>
        </w:rPr>
      </w:pPr>
      <w:r>
        <w:rPr>
          <w:color w:val="000000"/>
          <w:sz w:val="20"/>
          <w:szCs w:val="20"/>
        </w:rPr>
      </w:r>
      <w:bookmarkStart w:id="0" w:name="_GoBack_Copia_1"/>
      <w:bookmarkStart w:id="1" w:name="_GoBack_Copia_1"/>
      <w:bookmarkEnd w:id="1"/>
    </w:p>
    <w:p>
      <w:pPr>
        <w:pStyle w:val="Textoprformatado"/>
        <w:ind w:right="142"/>
        <w:jc w:val="both"/>
        <w:rPr>
          <w:rFonts w:ascii="Times New Roman" w:hAnsi="Times New Roman" w:cs="Times New Roman"/>
          <w:b/>
          <w:sz w:val="25"/>
          <w:szCs w:val="25"/>
        </w:rPr>
      </w:pPr>
      <w:r>
        <w:rPr>
          <w:rFonts w:cs="Times New Roman" w:ascii="Times New Roman" w:hAnsi="Times New Roman"/>
          <w:b/>
          <w:bCs/>
          <w:sz w:val="25"/>
          <w:szCs w:val="25"/>
        </w:rPr>
        <w:t>1.2.</w:t>
      </w:r>
      <w:r>
        <w:rPr>
          <w:rFonts w:cs="Times New Roman" w:ascii="Times New Roman" w:hAnsi="Times New Roman"/>
          <w:bCs/>
          <w:sz w:val="25"/>
          <w:szCs w:val="25"/>
        </w:rPr>
        <w:t xml:space="preserve"> Os</w:t>
      </w:r>
      <w:r>
        <w:rPr>
          <w:rFonts w:cs="Times New Roman" w:ascii="Times New Roman" w:hAnsi="Times New Roman"/>
          <w:sz w:val="25"/>
          <w:szCs w:val="25"/>
        </w:rPr>
        <w:t xml:space="preserve"> preços unitários serão registrados neste processo e terão vigência de um ano, podendo ser prorrogado por igual período, desde que demonstrada a vantajosidade do preço, renovados</w:t>
      </w:r>
      <w:r>
        <w:rPr>
          <w:rStyle w:val="Strong"/>
          <w:rFonts w:cs="Times New Roman" w:ascii="Times New Roman" w:hAnsi="Times New Roman"/>
          <w:b w:val="false"/>
          <w:sz w:val="25"/>
          <w:szCs w:val="25"/>
        </w:rPr>
        <w:t xml:space="preserve"> os quantitativos originalmente registrados na Ata</w:t>
      </w:r>
      <w:r>
        <w:rPr>
          <w:rFonts w:cs="Times New Roman" w:ascii="Times New Roman" w:hAnsi="Times New Roman"/>
          <w:b/>
          <w:sz w:val="25"/>
          <w:szCs w:val="25"/>
        </w:rPr>
        <w:t xml:space="preserve"> </w:t>
      </w:r>
      <w:r>
        <w:rPr>
          <w:rFonts w:cs="Times New Roman" w:ascii="Times New Roman" w:hAnsi="Times New Roman"/>
          <w:sz w:val="25"/>
          <w:szCs w:val="25"/>
        </w:rPr>
        <w:t>e,</w:t>
      </w:r>
      <w:r>
        <w:rPr>
          <w:rFonts w:cs="Times New Roman" w:ascii="Times New Roman" w:hAnsi="Times New Roman"/>
          <w:b/>
          <w:sz w:val="25"/>
          <w:szCs w:val="25"/>
        </w:rPr>
        <w:t xml:space="preserve"> </w:t>
      </w:r>
      <w:r>
        <w:rPr>
          <w:rStyle w:val="Strong"/>
          <w:rFonts w:cs="Times New Roman" w:ascii="Times New Roman" w:hAnsi="Times New Roman"/>
          <w:b w:val="false"/>
          <w:sz w:val="25"/>
          <w:szCs w:val="25"/>
        </w:rPr>
        <w:t>quando cabível, aplicado o reajuste pelo INPC do período, ou por outro índice que vier a substituí-lo, observada a legislação vigente</w:t>
      </w:r>
      <w:r>
        <w:rPr>
          <w:rFonts w:cs="Times New Roman" w:ascii="Times New Roman" w:hAnsi="Times New Roman"/>
          <w:sz w:val="25"/>
          <w:szCs w:val="25"/>
        </w:rPr>
        <w:t>.</w:t>
      </w:r>
    </w:p>
    <w:p>
      <w:pPr>
        <w:pStyle w:val="Default"/>
        <w:ind w:right="140"/>
        <w:jc w:val="both"/>
        <w:rPr>
          <w:rFonts w:ascii="Times New Roman" w:hAnsi="Times New Roman" w:cs="Times New Roman"/>
          <w:sz w:val="25"/>
          <w:szCs w:val="25"/>
        </w:rPr>
      </w:pPr>
      <w:r>
        <w:rPr>
          <w:rFonts w:cs="Times New Roman" w:ascii="Times New Roman" w:hAnsi="Times New Roman"/>
          <w:b/>
          <w:bCs/>
          <w:sz w:val="25"/>
          <w:szCs w:val="25"/>
        </w:rPr>
        <w:t xml:space="preserve">1.3. </w:t>
      </w:r>
      <w:r>
        <w:rPr>
          <w:rFonts w:eastAsia="Symbol" w:cs="Times New Roman" w:ascii="Times New Roman" w:hAnsi="Times New Roman"/>
          <w:sz w:val="25"/>
          <w:szCs w:val="25"/>
        </w:rPr>
        <w:t>Durante a vigência da Ata, os preços registrados serão fixos e irreajustáveis, exceto nas hipóteses, devidamente comprovadas, de ocorrência de situação prevista na alínea “d” do inciso II do art. 124 da Lei n.º 14.133/2021 ou de redução dos preços praticados no mercado.</w:t>
      </w:r>
    </w:p>
    <w:p>
      <w:pPr>
        <w:pStyle w:val="Normal"/>
        <w:ind w:right="140"/>
        <w:jc w:val="both"/>
        <w:rPr>
          <w:sz w:val="25"/>
          <w:szCs w:val="25"/>
        </w:rPr>
      </w:pPr>
      <w:r>
        <w:rPr>
          <w:b/>
          <w:bCs/>
          <w:sz w:val="25"/>
          <w:szCs w:val="25"/>
        </w:rPr>
        <w:t xml:space="preserve">1.4. </w:t>
      </w:r>
      <w:r>
        <w:rPr>
          <w:bCs/>
          <w:sz w:val="25"/>
          <w:szCs w:val="25"/>
        </w:rPr>
        <w:t>O presente processo será regido pela Lei nº 14.133/2021, em especial aos Art. 82 a 86, que tratam sobre o Sistema de Registro de Preços.</w:t>
      </w:r>
    </w:p>
    <w:p>
      <w:pPr>
        <w:pStyle w:val="Normal"/>
        <w:ind w:right="140"/>
        <w:jc w:val="both"/>
        <w:rPr>
          <w:sz w:val="25"/>
          <w:szCs w:val="25"/>
        </w:rPr>
      </w:pPr>
      <w:r>
        <w:rPr>
          <w:sz w:val="25"/>
          <w:szCs w:val="25"/>
        </w:rPr>
      </w:r>
    </w:p>
    <w:p>
      <w:pPr>
        <w:pStyle w:val="Normal"/>
        <w:ind w:right="140"/>
        <w:jc w:val="both"/>
        <w:rPr>
          <w:sz w:val="25"/>
          <w:szCs w:val="25"/>
        </w:rPr>
      </w:pPr>
      <w:r>
        <w:rPr>
          <w:b/>
          <w:sz w:val="25"/>
          <w:szCs w:val="25"/>
        </w:rPr>
        <w:t xml:space="preserve">2. </w:t>
      </w:r>
      <w:r>
        <w:rPr>
          <w:b/>
          <w:sz w:val="25"/>
          <w:szCs w:val="25"/>
          <w:u w:val="single"/>
        </w:rPr>
        <w:t>CONDIÇÕES GERAIS PARA PARTICIPAÇÃO</w:t>
      </w:r>
    </w:p>
    <w:p>
      <w:pPr>
        <w:pStyle w:val="Normal"/>
        <w:ind w:right="140"/>
        <w:jc w:val="both"/>
        <w:rPr>
          <w:sz w:val="25"/>
          <w:szCs w:val="25"/>
        </w:rPr>
      </w:pPr>
      <w:r>
        <w:rPr>
          <w:b/>
          <w:bCs/>
          <w:iCs/>
          <w:sz w:val="25"/>
          <w:szCs w:val="25"/>
        </w:rPr>
        <w:t xml:space="preserve">2.1. </w:t>
      </w:r>
      <w:r>
        <w:rPr>
          <w:bCs/>
          <w:iCs/>
          <w:sz w:val="25"/>
          <w:szCs w:val="25"/>
        </w:rPr>
        <w:t>Poderão participar deste Pregão as pessoas jurídicas que estiverem credenciadas junto ao Portal de Compras Banrisul.</w:t>
      </w:r>
    </w:p>
    <w:p>
      <w:pPr>
        <w:pStyle w:val="Normal"/>
        <w:ind w:right="140"/>
        <w:jc w:val="both"/>
        <w:rPr>
          <w:sz w:val="25"/>
          <w:szCs w:val="25"/>
        </w:rPr>
      </w:pPr>
      <w:r>
        <w:rPr>
          <w:b/>
          <w:bCs/>
          <w:sz w:val="25"/>
          <w:szCs w:val="25"/>
        </w:rPr>
        <w:t xml:space="preserve">2.2. </w:t>
      </w:r>
      <w:r>
        <w:rPr>
          <w:sz w:val="25"/>
          <w:szCs w:val="25"/>
        </w:rPr>
        <w:t xml:space="preserve">A licitante não credenciada poderá efetuar o pedido de credenciamento na Seção de Credenciamento de Fornecedores, mediante o preenchimento de formulário eletrônico disponível no site </w:t>
      </w:r>
      <w:hyperlink r:id="rId3">
        <w:r>
          <w:rPr>
            <w:rStyle w:val="Hyperlink"/>
            <w:sz w:val="25"/>
            <w:szCs w:val="25"/>
          </w:rPr>
          <w:t>http://www.pregaobanrisul.com.br</w:t>
        </w:r>
      </w:hyperlink>
      <w:r>
        <w:rPr>
          <w:rStyle w:val="Hyperlink"/>
          <w:sz w:val="25"/>
          <w:szCs w:val="25"/>
        </w:rPr>
        <w:t>.</w:t>
      </w:r>
    </w:p>
    <w:p>
      <w:pPr>
        <w:pStyle w:val="Normal"/>
        <w:ind w:right="140"/>
        <w:jc w:val="both"/>
        <w:rPr>
          <w:sz w:val="25"/>
          <w:szCs w:val="25"/>
        </w:rPr>
      </w:pPr>
      <w:r>
        <w:rPr>
          <w:b/>
          <w:sz w:val="25"/>
          <w:szCs w:val="25"/>
        </w:rPr>
        <w:t>2.3.</w:t>
      </w:r>
      <w:r>
        <w:rPr>
          <w:sz w:val="25"/>
          <w:szCs w:val="25"/>
        </w:rPr>
        <w:t xml:space="preserve"> O credenciamento dar-se-á pela atribuição da chave de identificação e de senha, pessoal e intransferível, para o acesso ao sistema eletrônico </w:t>
      </w:r>
      <w:hyperlink r:id="rId4">
        <w:r>
          <w:rPr>
            <w:rStyle w:val="Hyperlink"/>
            <w:sz w:val="25"/>
            <w:szCs w:val="25"/>
          </w:rPr>
          <w:t>www.pregaobanrisul.com.br</w:t>
        </w:r>
      </w:hyperlink>
      <w:r>
        <w:rPr>
          <w:sz w:val="25"/>
          <w:szCs w:val="25"/>
        </w:rPr>
        <w:t>, obtidas junto ao provedor do sistema, onde também deverão informar-se a respeito do seu funcionamento e regulamento, assim como receber instruções detalhadas para sua correta utilização.</w:t>
      </w:r>
    </w:p>
    <w:p>
      <w:pPr>
        <w:pStyle w:val="Normal"/>
        <w:ind w:right="140"/>
        <w:jc w:val="both"/>
        <w:rPr>
          <w:sz w:val="25"/>
          <w:szCs w:val="25"/>
        </w:rPr>
      </w:pPr>
      <w:r>
        <w:rPr>
          <w:b/>
          <w:sz w:val="25"/>
          <w:szCs w:val="25"/>
        </w:rPr>
        <w:t>2.4.</w:t>
      </w:r>
      <w:r>
        <w:rPr>
          <w:sz w:val="25"/>
          <w:szCs w:val="25"/>
        </w:rPr>
        <w:t xml:space="preserve"> O licitante responsabiliza-se exclusiva e formalmente pelas transações efetuadas em seu nome, assume como firmes e verdadeiras s</w:t>
      </w:r>
      <w:bookmarkStart w:id="2" w:name="_GoBack"/>
      <w:bookmarkEnd w:id="2"/>
      <w:r>
        <w:rPr>
          <w:sz w:val="25"/>
          <w:szCs w:val="25"/>
        </w:rPr>
        <w:t>uas propostas e seus lances, inclusive os atos praticados diretamente ou por seu representante, excluída a responsabilidade do provedor do sistema ou do órgão promotor da licitação por eventuais danos decorrentes de uso indevido das credenciais de acesso, ainda que por terceiros.</w:t>
      </w:r>
    </w:p>
    <w:p>
      <w:pPr>
        <w:pStyle w:val="Normal"/>
        <w:ind w:right="140"/>
        <w:jc w:val="both"/>
        <w:rPr>
          <w:sz w:val="25"/>
          <w:szCs w:val="25"/>
        </w:rPr>
      </w:pPr>
      <w:r>
        <w:rPr>
          <w:b/>
          <w:sz w:val="25"/>
          <w:szCs w:val="25"/>
        </w:rPr>
        <w:t>2.5.</w:t>
      </w:r>
      <w:r>
        <w:rPr>
          <w:sz w:val="25"/>
          <w:szCs w:val="25"/>
        </w:rPr>
        <w:t xml:space="preserve">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Normal"/>
        <w:ind w:right="140"/>
        <w:jc w:val="both"/>
        <w:rPr>
          <w:sz w:val="25"/>
          <w:szCs w:val="25"/>
        </w:rPr>
      </w:pPr>
      <w:r>
        <w:rPr>
          <w:b/>
          <w:sz w:val="25"/>
          <w:szCs w:val="25"/>
        </w:rPr>
        <w:t>2.6.</w:t>
      </w:r>
      <w:r>
        <w:rPr>
          <w:sz w:val="25"/>
          <w:szCs w:val="25"/>
        </w:rPr>
        <w:t xml:space="preserve"> A não observância do disposto no item anterior poderá ensejar desclassificação no momento da habilitação.</w:t>
      </w:r>
    </w:p>
    <w:p>
      <w:pPr>
        <w:pStyle w:val="Normal"/>
        <w:ind w:right="140"/>
        <w:jc w:val="both"/>
        <w:rPr>
          <w:sz w:val="25"/>
          <w:szCs w:val="25"/>
        </w:rPr>
      </w:pPr>
      <w:r>
        <w:rPr>
          <w:b/>
          <w:sz w:val="25"/>
          <w:szCs w:val="25"/>
        </w:rPr>
        <w:t>2.7.</w:t>
      </w:r>
      <w:r>
        <w:rPr>
          <w:sz w:val="25"/>
          <w:szCs w:val="25"/>
        </w:rPr>
        <w:t xml:space="preserve"> Como requisito para participação neste Pregão, o licitante deverá declarar, em campo próprio do sistema eletrônico:</w:t>
      </w:r>
    </w:p>
    <w:p>
      <w:pPr>
        <w:pStyle w:val="Header"/>
        <w:ind w:right="140"/>
        <w:jc w:val="both"/>
        <w:rPr>
          <w:sz w:val="25"/>
          <w:szCs w:val="25"/>
        </w:rPr>
      </w:pPr>
      <w:r>
        <w:rPr>
          <w:b/>
          <w:sz w:val="25"/>
          <w:szCs w:val="25"/>
        </w:rPr>
        <w:t>2.7.1.</w:t>
      </w:r>
      <w:r>
        <w:rPr>
          <w:sz w:val="25"/>
          <w:szCs w:val="25"/>
        </w:rPr>
        <w:t xml:space="preserve"> Que a licitante tem conhecimento e atende a todas as exigências de habilitação e especificações técnicas previstas no edital;</w:t>
      </w:r>
    </w:p>
    <w:p>
      <w:pPr>
        <w:pStyle w:val="Header"/>
        <w:ind w:right="140"/>
        <w:jc w:val="both"/>
        <w:rPr>
          <w:sz w:val="25"/>
          <w:szCs w:val="25"/>
        </w:rPr>
      </w:pPr>
      <w:r>
        <w:rPr>
          <w:b/>
          <w:sz w:val="25"/>
          <w:szCs w:val="25"/>
        </w:rPr>
        <w:t>2.7.</w:t>
      </w:r>
      <w:r>
        <w:rPr>
          <w:b/>
          <w:bCs/>
          <w:sz w:val="25"/>
          <w:szCs w:val="25"/>
        </w:rPr>
        <w:t>2.</w:t>
      </w:r>
      <w:r>
        <w:rPr>
          <w:sz w:val="25"/>
          <w:szCs w:val="25"/>
        </w:rPr>
        <w:t> Que a licitante assume o compromisso de guardar todos os documentos originais/autenticados, anexados eletronicamente ou apresentados para digitalização no ato da assinatura de ata de registro de preço e/ou contrato, se for o caso, pelo prazo de 10 (dez) anos, e apresentá-los quando requeridos pela Administração Pública;</w:t>
      </w:r>
    </w:p>
    <w:p>
      <w:pPr>
        <w:pStyle w:val="Header"/>
        <w:ind w:right="140"/>
        <w:jc w:val="both"/>
        <w:rPr>
          <w:sz w:val="25"/>
          <w:szCs w:val="25"/>
        </w:rPr>
      </w:pPr>
      <w:r>
        <w:rPr>
          <w:b/>
          <w:sz w:val="25"/>
          <w:szCs w:val="25"/>
        </w:rPr>
        <w:t>2.7.</w:t>
      </w:r>
      <w:r>
        <w:rPr>
          <w:b/>
          <w:bCs/>
          <w:sz w:val="25"/>
          <w:szCs w:val="25"/>
        </w:rPr>
        <w:t>3.</w:t>
      </w:r>
      <w:r>
        <w:rPr>
          <w:sz w:val="25"/>
          <w:szCs w:val="25"/>
        </w:rPr>
        <w:t> Que os documentos anexados eletronicamente ou apresentados para digitalização no ato da assinatura de ata de registro de preço/contrato, se for o caso, são fiéis aos originais e válidos para todos os efeitos legais, incorrendo nas sanções previstas na legislação aplicável, em caso de declaração falsa, sem prejuízo da responsabilização civil e criminal;</w:t>
      </w:r>
    </w:p>
    <w:p>
      <w:pPr>
        <w:pStyle w:val="Header"/>
        <w:ind w:right="140"/>
        <w:jc w:val="both"/>
        <w:rPr>
          <w:sz w:val="25"/>
          <w:szCs w:val="25"/>
        </w:rPr>
      </w:pPr>
      <w:r>
        <w:rPr>
          <w:b/>
          <w:sz w:val="25"/>
          <w:szCs w:val="25"/>
        </w:rPr>
        <w:t>2.7.</w:t>
      </w:r>
      <w:r>
        <w:rPr>
          <w:b/>
          <w:bCs/>
          <w:sz w:val="25"/>
          <w:szCs w:val="25"/>
        </w:rPr>
        <w:t>4.</w:t>
      </w:r>
      <w:r>
        <w:rPr>
          <w:sz w:val="25"/>
          <w:szCs w:val="25"/>
        </w:rPr>
        <w:t> Que a licitante não emprega menor de dezoito anos em trabalho noturno, perigoso ou insalubre e não emprega menor de dezesseis anos, salvo na condição de aprendiz, a partir de quatorze anos, conforme previsto no inciso XXXIII do art. 7º da Constituição Federal;</w:t>
      </w:r>
    </w:p>
    <w:p>
      <w:pPr>
        <w:pStyle w:val="Header"/>
        <w:ind w:right="140"/>
        <w:jc w:val="both"/>
        <w:rPr>
          <w:sz w:val="25"/>
          <w:szCs w:val="25"/>
        </w:rPr>
      </w:pPr>
      <w:r>
        <w:rPr>
          <w:b/>
          <w:sz w:val="25"/>
          <w:szCs w:val="25"/>
        </w:rPr>
        <w:t>2.7.</w:t>
      </w:r>
      <w:r>
        <w:rPr>
          <w:b/>
          <w:bCs/>
          <w:sz w:val="25"/>
          <w:szCs w:val="25"/>
        </w:rPr>
        <w:t>5.</w:t>
      </w:r>
      <w:r>
        <w:rPr>
          <w:sz w:val="25"/>
          <w:szCs w:val="25"/>
        </w:rPr>
        <w:t> Que a licitante tem conhecimento acerca das condutas passíveis de penalidades elencadas no Edital e aquelas previstas na Lei nº 14.133/2021;</w:t>
      </w:r>
    </w:p>
    <w:p>
      <w:pPr>
        <w:pStyle w:val="Header"/>
        <w:ind w:right="140"/>
        <w:jc w:val="both"/>
        <w:rPr>
          <w:sz w:val="25"/>
          <w:szCs w:val="25"/>
        </w:rPr>
      </w:pPr>
      <w:r>
        <w:rPr>
          <w:b/>
          <w:sz w:val="25"/>
          <w:szCs w:val="25"/>
        </w:rPr>
        <w:t>2.7.</w:t>
      </w:r>
      <w:r>
        <w:rPr>
          <w:b/>
          <w:bCs/>
          <w:sz w:val="25"/>
          <w:szCs w:val="25"/>
        </w:rPr>
        <w:t>6.</w:t>
      </w:r>
      <w:r>
        <w:rPr>
          <w:sz w:val="25"/>
          <w:szCs w:val="25"/>
        </w:rPr>
        <w:t> Que até a presente data inexistem fatos impeditivos à participação da licitante, conforme consta no edital, salvo disposição extraordinária prevista em lei específica;</w:t>
      </w:r>
    </w:p>
    <w:p>
      <w:pPr>
        <w:pStyle w:val="Header"/>
        <w:ind w:right="140"/>
        <w:jc w:val="both"/>
        <w:rPr>
          <w:sz w:val="25"/>
          <w:szCs w:val="25"/>
        </w:rPr>
      </w:pPr>
      <w:r>
        <w:rPr>
          <w:b/>
          <w:sz w:val="25"/>
          <w:szCs w:val="25"/>
        </w:rPr>
        <w:t>2.7.</w:t>
      </w:r>
      <w:r>
        <w:rPr>
          <w:b/>
          <w:bCs/>
          <w:sz w:val="25"/>
          <w:szCs w:val="25"/>
        </w:rPr>
        <w:t>7.</w:t>
      </w:r>
      <w:r>
        <w:rPr>
          <w:sz w:val="25"/>
          <w:szCs w:val="25"/>
        </w:rPr>
        <w:t> Que a licitante tem pleno conhecimento do objeto, das condições e das peculiaridades inerentes à natureza dos trabalhos, quando for o caso.</w:t>
      </w:r>
    </w:p>
    <w:p>
      <w:pPr>
        <w:pStyle w:val="Header"/>
        <w:ind w:right="140"/>
        <w:jc w:val="both"/>
        <w:rPr>
          <w:sz w:val="25"/>
          <w:szCs w:val="25"/>
        </w:rPr>
      </w:pPr>
      <w:r>
        <w:rPr>
          <w:b/>
          <w:sz w:val="25"/>
          <w:szCs w:val="25"/>
        </w:rPr>
        <w:t>2.7.</w:t>
      </w:r>
      <w:r>
        <w:rPr>
          <w:b/>
          <w:bCs/>
          <w:sz w:val="25"/>
          <w:szCs w:val="25"/>
        </w:rPr>
        <w:t xml:space="preserve">8. </w:t>
      </w:r>
      <w:r>
        <w:rPr>
          <w:bCs/>
          <w:sz w:val="25"/>
          <w:szCs w:val="25"/>
        </w:rPr>
        <w:t>Q</w:t>
      </w:r>
      <w:r>
        <w:rPr>
          <w:sz w:val="25"/>
          <w:szCs w:val="25"/>
        </w:rPr>
        <w:t>ue a licitante disporá para a execução do contrato de: instalações, pessoal qualificado e aparelhamento técnico adequado e disponível para cumprir o objeto da licitação, quando for o caso.</w:t>
      </w:r>
    </w:p>
    <w:p>
      <w:pPr>
        <w:pStyle w:val="Header"/>
        <w:ind w:right="140"/>
        <w:jc w:val="both"/>
        <w:rPr>
          <w:sz w:val="25"/>
          <w:szCs w:val="25"/>
        </w:rPr>
      </w:pPr>
      <w:r>
        <w:rPr>
          <w:b/>
          <w:sz w:val="25"/>
          <w:szCs w:val="25"/>
        </w:rPr>
        <w:t xml:space="preserve">2.8. </w:t>
      </w:r>
      <w:r>
        <w:rPr>
          <w:sz w:val="25"/>
          <w:szCs w:val="25"/>
        </w:rPr>
        <w:t>A declaração falsa relativa ao cumprimento dos requisitos de habilitação sujeitará o licitante às sanções previstas neste Edital sem prejuízo às demais cominações legais.</w:t>
      </w:r>
    </w:p>
    <w:p>
      <w:pPr>
        <w:pStyle w:val="Normal"/>
        <w:ind w:right="140"/>
        <w:jc w:val="both"/>
        <w:rPr>
          <w:sz w:val="25"/>
          <w:szCs w:val="25"/>
        </w:rPr>
      </w:pPr>
      <w:r>
        <w:rPr>
          <w:b/>
          <w:sz w:val="25"/>
          <w:szCs w:val="25"/>
        </w:rPr>
        <w:t xml:space="preserve">2.9. </w:t>
      </w:r>
      <w:r>
        <w:rPr>
          <w:sz w:val="25"/>
          <w:szCs w:val="25"/>
        </w:rPr>
        <w:t xml:space="preserve">A presente licitação é exclusiva para as microempresas e empresas de pequeno porte, nos limites previstos na </w:t>
      </w:r>
      <w:hyperlink r:id="rId5">
        <w:r>
          <w:rPr>
            <w:rStyle w:val="Hyperlink"/>
            <w:sz w:val="25"/>
            <w:szCs w:val="25"/>
          </w:rPr>
          <w:t>Lei Complementar nº 123/2006</w:t>
        </w:r>
      </w:hyperlink>
      <w:r>
        <w:rPr>
          <w:sz w:val="25"/>
          <w:szCs w:val="25"/>
        </w:rPr>
        <w:t>.</w:t>
      </w:r>
    </w:p>
    <w:p>
      <w:pPr>
        <w:pStyle w:val="Normal"/>
        <w:ind w:right="140"/>
        <w:jc w:val="both"/>
        <w:rPr>
          <w:sz w:val="25"/>
          <w:szCs w:val="25"/>
        </w:rPr>
      </w:pPr>
      <w:r>
        <w:rPr>
          <w:b/>
          <w:sz w:val="25"/>
          <w:szCs w:val="25"/>
        </w:rPr>
        <w:t>2.10.</w:t>
      </w:r>
      <w:r>
        <w:rPr>
          <w:sz w:val="25"/>
          <w:szCs w:val="25"/>
        </w:rPr>
        <w:t xml:space="preserve"> Os representantes de microempresas e empresas de pequeno porte deverão declarar em campo próprio do sistema, quando do envio da proposta inicial, que as respectivas empresas enquadram-se nessa(s) categoria(s).</w:t>
      </w:r>
    </w:p>
    <w:p>
      <w:pPr>
        <w:pStyle w:val="Normal"/>
        <w:ind w:right="140"/>
        <w:jc w:val="both"/>
        <w:rPr>
          <w:sz w:val="25"/>
          <w:szCs w:val="25"/>
        </w:rPr>
      </w:pPr>
      <w:r>
        <w:rPr>
          <w:b/>
          <w:sz w:val="25"/>
          <w:szCs w:val="25"/>
        </w:rPr>
        <w:t>2.10.1.</w:t>
      </w:r>
      <w:r>
        <w:rPr>
          <w:sz w:val="25"/>
          <w:szCs w:val="25"/>
        </w:rPr>
        <w:t xml:space="preserve"> A falsidade da declaração de que trata este item sujeitará o licitante às sanções previstas na Lei nº 14.133/2021 e neste Edital.</w:t>
      </w:r>
    </w:p>
    <w:p>
      <w:pPr>
        <w:pStyle w:val="Normal"/>
        <w:ind w:right="140"/>
        <w:jc w:val="both"/>
        <w:rPr>
          <w:sz w:val="25"/>
          <w:szCs w:val="25"/>
        </w:rPr>
      </w:pPr>
      <w:r>
        <w:rPr>
          <w:b/>
          <w:sz w:val="25"/>
          <w:szCs w:val="25"/>
        </w:rPr>
        <w:t>2.11.</w:t>
      </w:r>
      <w:r>
        <w:rPr>
          <w:sz w:val="25"/>
          <w:szCs w:val="25"/>
        </w:rPr>
        <w:t xml:space="preserve"> Não poderão participar deste Pregão:</w:t>
      </w:r>
    </w:p>
    <w:p>
      <w:pPr>
        <w:pStyle w:val="Normal"/>
        <w:tabs>
          <w:tab w:val="clear" w:pos="708"/>
          <w:tab w:val="left" w:pos="851" w:leader="none"/>
        </w:tabs>
        <w:ind w:right="140"/>
        <w:jc w:val="both"/>
        <w:rPr>
          <w:sz w:val="25"/>
          <w:szCs w:val="25"/>
        </w:rPr>
      </w:pPr>
      <w:bookmarkStart w:id="3" w:name="_Ref113883338"/>
      <w:r>
        <w:rPr>
          <w:b/>
          <w:sz w:val="25"/>
          <w:szCs w:val="25"/>
        </w:rPr>
        <w:t>2.11.1.</w:t>
      </w:r>
      <w:r>
        <w:rPr>
          <w:sz w:val="25"/>
          <w:szCs w:val="25"/>
        </w:rPr>
        <w:t xml:space="preserve"> Aquele que não atenda às condições deste Edital e seu(s) anexo(s);</w:t>
      </w:r>
    </w:p>
    <w:p>
      <w:pPr>
        <w:pStyle w:val="Normal"/>
        <w:tabs>
          <w:tab w:val="clear" w:pos="708"/>
          <w:tab w:val="left" w:pos="851" w:leader="none"/>
        </w:tabs>
        <w:ind w:right="140"/>
        <w:jc w:val="both"/>
        <w:rPr>
          <w:sz w:val="25"/>
          <w:szCs w:val="25"/>
        </w:rPr>
      </w:pPr>
      <w:bookmarkStart w:id="4" w:name="_Ref114659912"/>
      <w:r>
        <w:rPr>
          <w:b/>
          <w:sz w:val="25"/>
          <w:szCs w:val="25"/>
        </w:rPr>
        <w:t>2.11.2.</w:t>
      </w:r>
      <w:r>
        <w:rPr>
          <w:sz w:val="25"/>
          <w:szCs w:val="25"/>
        </w:rPr>
        <w:t xml:space="preserve"> Autor do anteprojeto, do projeto básico ou do projeto executivo, pessoa física ou jurídica, quando a licitação versar sobre serviços ou fornecimento de bens a ele relacionados;</w:t>
      </w:r>
      <w:bookmarkEnd w:id="3"/>
      <w:bookmarkEnd w:id="4"/>
    </w:p>
    <w:p>
      <w:pPr>
        <w:pStyle w:val="Normal"/>
        <w:tabs>
          <w:tab w:val="clear" w:pos="708"/>
          <w:tab w:val="left" w:pos="851" w:leader="none"/>
        </w:tabs>
        <w:ind w:right="140"/>
        <w:jc w:val="both"/>
        <w:rPr>
          <w:sz w:val="25"/>
          <w:szCs w:val="25"/>
        </w:rPr>
      </w:pPr>
      <w:bookmarkStart w:id="5" w:name="_Ref114659913"/>
      <w:bookmarkStart w:id="6" w:name="_Ref113883339"/>
      <w:r>
        <w:rPr>
          <w:b/>
          <w:sz w:val="25"/>
          <w:szCs w:val="25"/>
        </w:rPr>
        <w:t>2.11.3.</w:t>
      </w:r>
      <w:r>
        <w:rPr>
          <w:sz w:val="25"/>
          <w:szCs w:val="25"/>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bookmarkEnd w:id="6"/>
    </w:p>
    <w:p>
      <w:pPr>
        <w:pStyle w:val="Normal"/>
        <w:tabs>
          <w:tab w:val="clear" w:pos="708"/>
          <w:tab w:val="left" w:pos="851" w:leader="none"/>
        </w:tabs>
        <w:ind w:right="140"/>
        <w:jc w:val="both"/>
        <w:rPr>
          <w:sz w:val="25"/>
          <w:szCs w:val="25"/>
        </w:rPr>
      </w:pPr>
      <w:r>
        <w:rPr>
          <w:b/>
          <w:sz w:val="25"/>
          <w:szCs w:val="25"/>
        </w:rPr>
        <w:t>2.11.4.</w:t>
      </w:r>
      <w:r>
        <w:rPr>
          <w:sz w:val="25"/>
          <w:szCs w:val="25"/>
        </w:rPr>
        <w:t xml:space="preserve"> Pessoa jurídica que esteja em processo de falência ou concordata, de concurso de credores, de dissolução ou liquidação judicial ou extrajudicial;</w:t>
      </w:r>
    </w:p>
    <w:p>
      <w:pPr>
        <w:pStyle w:val="Normal"/>
        <w:tabs>
          <w:tab w:val="clear" w:pos="708"/>
          <w:tab w:val="left" w:pos="851" w:leader="none"/>
        </w:tabs>
        <w:ind w:right="140"/>
        <w:jc w:val="both"/>
        <w:rPr>
          <w:sz w:val="25"/>
          <w:szCs w:val="25"/>
        </w:rPr>
      </w:pPr>
      <w:r>
        <w:rPr>
          <w:b/>
          <w:sz w:val="25"/>
          <w:szCs w:val="25"/>
        </w:rPr>
        <w:t>2.11.4.1.</w:t>
      </w:r>
      <w:r>
        <w:rPr>
          <w:sz w:val="25"/>
          <w:szCs w:val="25"/>
        </w:rPr>
        <w:t xml:space="preserve"> As pessoas jurídicas em recuperação judicial ou extrajudicial, cuja participação é permitida, deverão comprovar, na fase de habilitação, a aprovação e homologação judicial do respectivo plano de recuperação.</w:t>
      </w:r>
    </w:p>
    <w:p>
      <w:pPr>
        <w:pStyle w:val="Normal"/>
        <w:tabs>
          <w:tab w:val="clear" w:pos="708"/>
          <w:tab w:val="left" w:pos="851" w:leader="none"/>
        </w:tabs>
        <w:ind w:right="140"/>
        <w:jc w:val="both"/>
        <w:rPr>
          <w:sz w:val="25"/>
          <w:szCs w:val="25"/>
        </w:rPr>
      </w:pPr>
      <w:bookmarkStart w:id="7" w:name="_Ref113883003"/>
      <w:r>
        <w:rPr>
          <w:b/>
          <w:sz w:val="25"/>
          <w:szCs w:val="25"/>
        </w:rPr>
        <w:t>2.11.5.</w:t>
      </w:r>
      <w:r>
        <w:rPr>
          <w:sz w:val="25"/>
          <w:szCs w:val="25"/>
        </w:rPr>
        <w:t xml:space="preserve"> Pessoa jurídica que se encontre, ao tempo da licitação, impossibilitada de participar da licitação em decorrência de sanção que lhe foi imposta;</w:t>
      </w:r>
      <w:bookmarkEnd w:id="7"/>
    </w:p>
    <w:p>
      <w:pPr>
        <w:pStyle w:val="Normal"/>
        <w:tabs>
          <w:tab w:val="clear" w:pos="708"/>
          <w:tab w:val="left" w:pos="851" w:leader="none"/>
        </w:tabs>
        <w:ind w:right="140"/>
        <w:jc w:val="both"/>
        <w:rPr>
          <w:sz w:val="25"/>
          <w:szCs w:val="25"/>
        </w:rPr>
      </w:pPr>
      <w:r>
        <w:rPr>
          <w:b/>
          <w:sz w:val="25"/>
          <w:szCs w:val="25"/>
        </w:rPr>
        <w:t>2.11.6.</w:t>
      </w:r>
      <w:r>
        <w:rPr>
          <w:sz w:val="25"/>
          <w:szCs w:val="25"/>
        </w:rPr>
        <w:t xml:space="preserve"> Empresa</w:t>
      </w:r>
      <w:r>
        <w:rPr>
          <w:b/>
          <w:sz w:val="25"/>
          <w:szCs w:val="25"/>
        </w:rPr>
        <w:t xml:space="preserve"> </w:t>
      </w:r>
      <w:r>
        <w:rPr>
          <w:sz w:val="25"/>
          <w:szCs w:val="25"/>
        </w:rPr>
        <w:t>cujos objetos sociais não sejam compatíveis com o objeto deste Pregão;</w:t>
      </w:r>
    </w:p>
    <w:p>
      <w:pPr>
        <w:pStyle w:val="Normal"/>
        <w:tabs>
          <w:tab w:val="clear" w:pos="708"/>
          <w:tab w:val="left" w:pos="851" w:leader="none"/>
        </w:tabs>
        <w:ind w:right="140"/>
        <w:jc w:val="both"/>
        <w:rPr>
          <w:sz w:val="25"/>
          <w:szCs w:val="25"/>
        </w:rPr>
      </w:pPr>
      <w:r>
        <w:rPr>
          <w:b/>
          <w:sz w:val="25"/>
          <w:szCs w:val="25"/>
        </w:rPr>
        <w:t>2.11.7.</w:t>
      </w:r>
      <w:r>
        <w:rPr>
          <w:sz w:val="25"/>
          <w:szCs w:val="25"/>
        </w:rPr>
        <w:t xml:space="preserve"> Aquele que mantenha vínculo de natureza técnica, comercial, econômica, financeira, trabalhista ou civil com ocupantes do quadro do Município de Caçapava do Sul, nos cargos de direção ou chefia, ou exercentes de função gratificada de mesma natureza ou com agente público que desempenhe função na licitação ou atue na fiscalização ou na gestão do contrato, ou que deles seja cônjuge, companheiro ou parente em linha reta, colateral ou por afinidade, até o terceiro grau;</w:t>
      </w:r>
    </w:p>
    <w:p>
      <w:pPr>
        <w:pStyle w:val="Normal"/>
        <w:tabs>
          <w:tab w:val="clear" w:pos="708"/>
          <w:tab w:val="left" w:pos="851" w:leader="none"/>
        </w:tabs>
        <w:ind w:right="140"/>
        <w:jc w:val="both"/>
        <w:rPr>
          <w:sz w:val="25"/>
          <w:szCs w:val="25"/>
        </w:rPr>
      </w:pPr>
      <w:bookmarkStart w:id="8" w:name="_Ref113883579"/>
      <w:r>
        <w:rPr>
          <w:b/>
          <w:sz w:val="25"/>
          <w:szCs w:val="25"/>
        </w:rPr>
        <w:t>2.11.8.</w:t>
      </w:r>
      <w:r>
        <w:rPr>
          <w:sz w:val="25"/>
          <w:szCs w:val="25"/>
        </w:rPr>
        <w:t xml:space="preserve"> Empresas controladoras, controladas ou coligadas, nos termos da Lei nº 6.404, de 15 de dezembro de 1976, concorrendo entre si;</w:t>
      </w:r>
      <w:bookmarkEnd w:id="8"/>
    </w:p>
    <w:p>
      <w:pPr>
        <w:pStyle w:val="Normal"/>
        <w:tabs>
          <w:tab w:val="clear" w:pos="708"/>
          <w:tab w:val="left" w:pos="851" w:leader="none"/>
        </w:tabs>
        <w:ind w:right="140"/>
        <w:jc w:val="both"/>
        <w:rPr>
          <w:sz w:val="25"/>
          <w:szCs w:val="25"/>
        </w:rPr>
      </w:pPr>
      <w:r>
        <w:rPr>
          <w:b/>
          <w:sz w:val="25"/>
          <w:szCs w:val="25"/>
        </w:rPr>
        <w:t>2.11.9.</w:t>
      </w:r>
      <w:r>
        <w:rPr>
          <w:sz w:val="25"/>
          <w:szCs w:val="25"/>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ormal"/>
        <w:tabs>
          <w:tab w:val="clear" w:pos="708"/>
          <w:tab w:val="left" w:pos="851" w:leader="none"/>
        </w:tabs>
        <w:ind w:right="140"/>
        <w:jc w:val="both"/>
        <w:rPr>
          <w:sz w:val="25"/>
          <w:szCs w:val="25"/>
        </w:rPr>
      </w:pPr>
      <w:bookmarkStart w:id="9" w:name="_Ref113962336"/>
      <w:r>
        <w:rPr>
          <w:b/>
          <w:sz w:val="25"/>
          <w:szCs w:val="25"/>
        </w:rPr>
        <w:t>2.11.10.</w:t>
      </w:r>
      <w:r>
        <w:rPr>
          <w:sz w:val="25"/>
          <w:szCs w:val="25"/>
        </w:rPr>
        <w:t xml:space="preserve"> Agente público do órgão ou entidade licitante;</w:t>
      </w:r>
      <w:bookmarkEnd w:id="9"/>
    </w:p>
    <w:p>
      <w:pPr>
        <w:pStyle w:val="Normal"/>
        <w:tabs>
          <w:tab w:val="clear" w:pos="708"/>
          <w:tab w:val="left" w:pos="851" w:leader="none"/>
        </w:tabs>
        <w:ind w:right="140"/>
        <w:jc w:val="both"/>
        <w:rPr>
          <w:sz w:val="25"/>
          <w:szCs w:val="25"/>
        </w:rPr>
      </w:pPr>
      <w:r>
        <w:rPr>
          <w:b/>
          <w:sz w:val="25"/>
          <w:szCs w:val="25"/>
        </w:rPr>
        <w:t>2.11.11.</w:t>
      </w:r>
      <w:r>
        <w:rPr>
          <w:sz w:val="25"/>
          <w:szCs w:val="25"/>
        </w:rPr>
        <w:t xml:space="preserve"> Pessoas jurídicas reunidas em consórcio;</w:t>
      </w:r>
    </w:p>
    <w:p>
      <w:pPr>
        <w:pStyle w:val="Normal"/>
        <w:tabs>
          <w:tab w:val="clear" w:pos="708"/>
          <w:tab w:val="left" w:pos="851" w:leader="none"/>
        </w:tabs>
        <w:ind w:right="140"/>
        <w:jc w:val="both"/>
        <w:rPr>
          <w:sz w:val="25"/>
          <w:szCs w:val="25"/>
        </w:rPr>
      </w:pPr>
      <w:r>
        <w:rPr>
          <w:b/>
          <w:sz w:val="25"/>
          <w:szCs w:val="25"/>
        </w:rPr>
        <w:t>2.11.12.</w:t>
      </w:r>
      <w:r>
        <w:rPr>
          <w:sz w:val="25"/>
          <w:szCs w:val="25"/>
        </w:rPr>
        <w:t xml:space="preserve"> Organizações da Sociedade Civil de Interesse Público - OSCIP, atuando nessa condição;</w:t>
      </w:r>
    </w:p>
    <w:p>
      <w:pPr>
        <w:pStyle w:val="Normal"/>
        <w:tabs>
          <w:tab w:val="clear" w:pos="708"/>
          <w:tab w:val="left" w:pos="851" w:leader="none"/>
        </w:tabs>
        <w:ind w:right="140"/>
        <w:jc w:val="both"/>
        <w:rPr>
          <w:sz w:val="25"/>
          <w:szCs w:val="25"/>
        </w:rPr>
      </w:pPr>
      <w:r>
        <w:rPr>
          <w:b/>
          <w:sz w:val="25"/>
          <w:szCs w:val="25"/>
        </w:rPr>
        <w:t>2.11.13.</w:t>
      </w:r>
      <w:r>
        <w:rPr>
          <w:sz w:val="25"/>
          <w:szCs w:val="25"/>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5"/>
          <w:szCs w:val="25"/>
        </w:rPr>
        <w:instrText xml:space="preserve"> HYPERLINK "http://www.planalto.gov.br/ccivil_03/_ato2019-2022/2021/lei/L14133.htm" \l "art9§1"</w:instrText>
      </w:r>
      <w:r>
        <w:rPr>
          <w:rStyle w:val="Hyperlink"/>
          <w:sz w:val="25"/>
          <w:szCs w:val="25"/>
        </w:rPr>
        <w:fldChar w:fldCharType="separate"/>
      </w:r>
      <w:r>
        <w:rPr>
          <w:rStyle w:val="Hyperlink"/>
          <w:sz w:val="25"/>
          <w:szCs w:val="25"/>
        </w:rPr>
        <w:t>§ 1º do art. 9º da Lei n.º 14.133, de 2021</w:t>
      </w:r>
      <w:r>
        <w:rPr>
          <w:rStyle w:val="Hyperlink"/>
          <w:sz w:val="25"/>
          <w:szCs w:val="25"/>
        </w:rPr>
        <w:fldChar w:fldCharType="end"/>
      </w:r>
      <w:r>
        <w:rPr>
          <w:sz w:val="25"/>
          <w:szCs w:val="25"/>
        </w:rPr>
        <w:t>.</w:t>
      </w:r>
    </w:p>
    <w:p>
      <w:pPr>
        <w:pStyle w:val="Normal"/>
        <w:ind w:right="140"/>
        <w:jc w:val="both"/>
        <w:rPr>
          <w:sz w:val="25"/>
          <w:szCs w:val="25"/>
        </w:rPr>
      </w:pPr>
      <w:r>
        <w:rPr>
          <w:b/>
          <w:sz w:val="25"/>
          <w:szCs w:val="25"/>
        </w:rPr>
        <w:t>2.12.</w:t>
      </w:r>
      <w:r>
        <w:rPr>
          <w:sz w:val="25"/>
          <w:szCs w:val="25"/>
        </w:rPr>
        <w:t xml:space="preserve"> O impedimento de que trata o item 2.11.5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ormal"/>
        <w:ind w:right="140"/>
        <w:jc w:val="both"/>
        <w:rPr>
          <w:sz w:val="25"/>
          <w:szCs w:val="25"/>
        </w:rPr>
      </w:pPr>
      <w:r>
        <w:rPr>
          <w:b/>
          <w:sz w:val="25"/>
          <w:szCs w:val="25"/>
        </w:rPr>
        <w:t xml:space="preserve">2.13. </w:t>
      </w:r>
      <w:r>
        <w:rPr>
          <w:sz w:val="25"/>
          <w:szCs w:val="25"/>
        </w:rPr>
        <w:t>A critério da Administração e exclusivamente a seu serviço, o autor dos projetos e a empresa a que se referem os itens 2.11.2 e 2.11.3 poderão participar no apoio das atividades de planejamento da contratação, de execução da licitação ou de gestão do contrato, desde que sob supervisão exclusiva de agentes públicos do órgão ou entidade.</w:t>
      </w:r>
    </w:p>
    <w:p>
      <w:pPr>
        <w:pStyle w:val="Normal"/>
        <w:ind w:right="140"/>
        <w:jc w:val="both"/>
        <w:rPr>
          <w:sz w:val="25"/>
          <w:szCs w:val="25"/>
        </w:rPr>
      </w:pPr>
      <w:r>
        <w:rPr>
          <w:b/>
          <w:sz w:val="25"/>
          <w:szCs w:val="25"/>
        </w:rPr>
        <w:t>2.14.</w:t>
      </w:r>
      <w:r>
        <w:rPr>
          <w:sz w:val="25"/>
          <w:szCs w:val="25"/>
        </w:rPr>
        <w:t xml:space="preserve"> Equiparam-se aos autores do projeto as empresas integrantes do mesmo grupo econômico.</w:t>
      </w:r>
    </w:p>
    <w:p>
      <w:pPr>
        <w:pStyle w:val="Normal"/>
        <w:ind w:right="140"/>
        <w:jc w:val="both"/>
        <w:rPr>
          <w:sz w:val="25"/>
          <w:szCs w:val="25"/>
        </w:rPr>
      </w:pPr>
      <w:r>
        <w:rPr>
          <w:b/>
          <w:sz w:val="25"/>
          <w:szCs w:val="25"/>
        </w:rPr>
        <w:t>2.15.</w:t>
      </w:r>
      <w:r>
        <w:rPr>
          <w:sz w:val="25"/>
          <w:szCs w:val="25"/>
        </w:rPr>
        <w:t xml:space="preserve"> O disposto nos itens 2.11.2 e 2.11.3 não impede a licitação ou a contratação de serviço que inclua como encargo do contratado a elaboração do projeto básico e do projeto executivo, nas contratações integradas, e do projeto executivo, nos demais regimes de execução.</w:t>
      </w:r>
    </w:p>
    <w:p>
      <w:pPr>
        <w:pStyle w:val="Normal"/>
        <w:ind w:right="140"/>
        <w:jc w:val="both"/>
        <w:rPr>
          <w:sz w:val="25"/>
          <w:szCs w:val="25"/>
        </w:rPr>
      </w:pPr>
      <w:r>
        <w:rPr>
          <w:b/>
          <w:sz w:val="25"/>
          <w:szCs w:val="25"/>
        </w:rPr>
        <w:t>2.16.</w:t>
      </w:r>
      <w:r>
        <w:rPr>
          <w:sz w:val="25"/>
          <w:szCs w:val="25"/>
        </w:rPr>
        <w:t xml:space="preserve"> A vedação de que trata o item 2.11.10 estende-se a terceiro que auxilie a condução da contratação na qualidade de integrante de equipe de apoio, profissional especializado ou funcionário ou representante de empresa que preste assessoria técnica.</w:t>
      </w:r>
    </w:p>
    <w:p>
      <w:pPr>
        <w:pStyle w:val="Normal"/>
        <w:ind w:right="140"/>
        <w:jc w:val="both"/>
        <w:rPr>
          <w:b/>
          <w:iCs/>
          <w:sz w:val="25"/>
          <w:szCs w:val="25"/>
        </w:rPr>
      </w:pPr>
      <w:r>
        <w:rPr>
          <w:b/>
          <w:iCs/>
          <w:sz w:val="25"/>
          <w:szCs w:val="25"/>
        </w:rPr>
      </w:r>
    </w:p>
    <w:p>
      <w:pPr>
        <w:pStyle w:val="Normal"/>
        <w:ind w:right="140"/>
        <w:jc w:val="both"/>
        <w:rPr>
          <w:sz w:val="25"/>
          <w:szCs w:val="25"/>
        </w:rPr>
      </w:pPr>
      <w:r>
        <w:rPr>
          <w:b/>
          <w:iCs/>
          <w:sz w:val="25"/>
          <w:szCs w:val="25"/>
        </w:rPr>
        <w:t xml:space="preserve">3. </w:t>
      </w:r>
      <w:r>
        <w:rPr>
          <w:b/>
          <w:iCs/>
          <w:sz w:val="25"/>
          <w:szCs w:val="25"/>
          <w:u w:val="single"/>
        </w:rPr>
        <w:t>DOCUMENTAÇÃO NECESSÁRIA</w:t>
      </w:r>
    </w:p>
    <w:p>
      <w:pPr>
        <w:pStyle w:val="Normal"/>
        <w:ind w:right="140"/>
        <w:jc w:val="both"/>
        <w:rPr>
          <w:sz w:val="25"/>
          <w:szCs w:val="25"/>
        </w:rPr>
      </w:pPr>
      <w:r>
        <w:rPr>
          <w:b/>
          <w:bCs/>
          <w:sz w:val="25"/>
          <w:szCs w:val="25"/>
        </w:rPr>
        <w:t xml:space="preserve">3.1. </w:t>
      </w:r>
      <w:r>
        <w:rPr>
          <w:rFonts w:eastAsia="Calibri"/>
          <w:bCs/>
          <w:sz w:val="25"/>
          <w:szCs w:val="25"/>
          <w:lang w:eastAsia="en-US"/>
        </w:rPr>
        <w:t xml:space="preserve">O licitante classificado provisoriamente em primeiro lugar, cuja proposta tiver sido aceita, deverá anexar a documentação de habilitação, </w:t>
      </w:r>
      <w:r>
        <w:rPr>
          <w:rFonts w:eastAsia="Calibri"/>
          <w:bCs/>
          <w:sz w:val="25"/>
          <w:szCs w:val="25"/>
          <w:u w:val="single"/>
          <w:lang w:eastAsia="en-US"/>
        </w:rPr>
        <w:t>através do sistema eletrônico,</w:t>
      </w:r>
      <w:r>
        <w:rPr>
          <w:rFonts w:eastAsia="Calibri"/>
          <w:bCs/>
          <w:sz w:val="25"/>
          <w:szCs w:val="25"/>
          <w:lang w:eastAsia="en-US"/>
        </w:rPr>
        <w:t xml:space="preserve"> ocasião em que será concedido o prazo mínimo </w:t>
      </w:r>
      <w:r>
        <w:rPr>
          <w:rFonts w:eastAsia="Calibri"/>
          <w:b/>
          <w:bCs/>
          <w:sz w:val="25"/>
          <w:szCs w:val="25"/>
          <w:u w:val="single"/>
          <w:lang w:eastAsia="en-US"/>
        </w:rPr>
        <w:t>de 2</w:t>
      </w:r>
      <w:r>
        <w:rPr>
          <w:rFonts w:eastAsia="Calibri"/>
          <w:b/>
          <w:sz w:val="25"/>
          <w:szCs w:val="25"/>
          <w:u w:val="single"/>
          <w:lang w:eastAsia="en-US"/>
        </w:rPr>
        <w:t xml:space="preserve"> (duas) horas</w:t>
      </w:r>
      <w:r>
        <w:rPr>
          <w:rFonts w:eastAsia="Calibri"/>
          <w:b/>
          <w:bCs/>
          <w:sz w:val="25"/>
          <w:szCs w:val="25"/>
          <w:u w:val="single"/>
          <w:lang w:eastAsia="en-US"/>
        </w:rPr>
        <w:t>,</w:t>
      </w:r>
      <w:r>
        <w:rPr>
          <w:rFonts w:eastAsia="Calibri"/>
          <w:b/>
          <w:bCs/>
          <w:sz w:val="25"/>
          <w:szCs w:val="25"/>
          <w:lang w:eastAsia="en-US"/>
        </w:rPr>
        <w:t xml:space="preserve"> </w:t>
      </w:r>
      <w:r>
        <w:rPr>
          <w:rFonts w:eastAsia="Calibri"/>
          <w:sz w:val="25"/>
          <w:szCs w:val="25"/>
          <w:lang w:eastAsia="en-US"/>
        </w:rPr>
        <w:t>prorrogável</w:t>
      </w:r>
      <w:r>
        <w:rPr>
          <w:rFonts w:eastAsia="Calibri"/>
          <w:bCs/>
          <w:sz w:val="25"/>
          <w:szCs w:val="25"/>
          <w:lang w:eastAsia="en-US"/>
        </w:rPr>
        <w:t xml:space="preserve"> a critério do pregoeiro, sob pena de inabilitação. Os documentos necessários são os seguintes:</w:t>
      </w:r>
    </w:p>
    <w:p>
      <w:pPr>
        <w:pStyle w:val="Normal"/>
        <w:ind w:right="140"/>
        <w:jc w:val="both"/>
        <w:rPr>
          <w:sz w:val="25"/>
          <w:szCs w:val="25"/>
        </w:rPr>
      </w:pPr>
      <w:r>
        <w:rPr>
          <w:bCs/>
          <w:sz w:val="25"/>
          <w:szCs w:val="25"/>
        </w:rPr>
        <w:t>a)</w:t>
      </w:r>
      <w:r>
        <w:rPr>
          <w:b/>
          <w:bCs/>
          <w:sz w:val="25"/>
          <w:szCs w:val="25"/>
        </w:rPr>
        <w:t xml:space="preserve"> Registro Comercial</w:t>
      </w:r>
      <w:r>
        <w:rPr>
          <w:sz w:val="25"/>
          <w:szCs w:val="25"/>
        </w:rPr>
        <w:t>, no caso de Empresa Individual;</w:t>
      </w:r>
    </w:p>
    <w:p>
      <w:pPr>
        <w:pStyle w:val="Normal"/>
        <w:ind w:right="140"/>
        <w:jc w:val="both"/>
        <w:rPr>
          <w:sz w:val="25"/>
          <w:szCs w:val="25"/>
        </w:rPr>
      </w:pPr>
      <w:r>
        <w:rPr>
          <w:bCs/>
          <w:sz w:val="25"/>
          <w:szCs w:val="25"/>
        </w:rPr>
        <w:t xml:space="preserve">b) </w:t>
      </w:r>
      <w:r>
        <w:rPr>
          <w:b/>
          <w:bCs/>
          <w:sz w:val="25"/>
          <w:szCs w:val="25"/>
        </w:rPr>
        <w:t>Ato Constitutivo, Estatuto ou Contrato Social em vigor</w:t>
      </w:r>
      <w:r>
        <w:rPr>
          <w:sz w:val="25"/>
          <w:szCs w:val="25"/>
        </w:rPr>
        <w:t>, devidamente registrado, em se tratando de Sociedades Comerciais e, no caso de Sociedade por Ações, acompanhado de documento de eleição de seus Administradores.</w:t>
      </w:r>
    </w:p>
    <w:p>
      <w:pPr>
        <w:pStyle w:val="Normal"/>
        <w:ind w:right="140"/>
        <w:jc w:val="both"/>
        <w:rPr>
          <w:sz w:val="25"/>
          <w:szCs w:val="25"/>
        </w:rPr>
      </w:pPr>
      <w:r>
        <w:rPr>
          <w:sz w:val="25"/>
          <w:szCs w:val="25"/>
        </w:rPr>
        <w:t xml:space="preserve">c) Prova de Inscrição no </w:t>
      </w:r>
      <w:r>
        <w:rPr>
          <w:b/>
          <w:bCs/>
          <w:sz w:val="25"/>
          <w:szCs w:val="25"/>
        </w:rPr>
        <w:t>Cadastro Nacional de Pessoa Jurídica (CNPJ/MF)</w:t>
      </w:r>
      <w:r>
        <w:rPr>
          <w:sz w:val="25"/>
          <w:szCs w:val="25"/>
        </w:rPr>
        <w:t>;</w:t>
      </w:r>
    </w:p>
    <w:p>
      <w:pPr>
        <w:pStyle w:val="Normal"/>
        <w:ind w:right="140"/>
        <w:jc w:val="both"/>
        <w:rPr>
          <w:sz w:val="25"/>
          <w:szCs w:val="25"/>
        </w:rPr>
      </w:pPr>
      <w:r>
        <w:rPr>
          <w:sz w:val="25"/>
          <w:szCs w:val="25"/>
        </w:rPr>
        <w:t xml:space="preserve">d) Prova de Regularidade fiscal para com as </w:t>
      </w:r>
      <w:r>
        <w:rPr>
          <w:b/>
          <w:bCs/>
          <w:sz w:val="25"/>
          <w:szCs w:val="25"/>
        </w:rPr>
        <w:t>Fazendas Municipal e Estadual,</w:t>
      </w:r>
      <w:r>
        <w:rPr>
          <w:sz w:val="25"/>
          <w:szCs w:val="25"/>
        </w:rPr>
        <w:t xml:space="preserve"> sendo a Municipal do local da Sede do Licitante. As Certidões Municipais que não constarem o prazo de validade, somente serão consideradas, se expedidas dentro de trinta (30) dias de antecedência da abertura das Propostas;</w:t>
      </w:r>
    </w:p>
    <w:p>
      <w:pPr>
        <w:pStyle w:val="Normal"/>
        <w:ind w:right="140"/>
        <w:jc w:val="both"/>
        <w:rPr>
          <w:sz w:val="25"/>
          <w:szCs w:val="25"/>
        </w:rPr>
      </w:pPr>
      <w:r>
        <w:rPr>
          <w:sz w:val="25"/>
          <w:szCs w:val="25"/>
        </w:rPr>
        <w:t>e) P</w:t>
      </w:r>
      <w:r>
        <w:rPr>
          <w:bCs/>
          <w:sz w:val="25"/>
          <w:szCs w:val="25"/>
        </w:rPr>
        <w:t xml:space="preserve">rova de regularidade quanto aos </w:t>
      </w:r>
      <w:r>
        <w:rPr>
          <w:b/>
          <w:bCs/>
          <w:sz w:val="25"/>
          <w:szCs w:val="25"/>
        </w:rPr>
        <w:t>tributos federais</w:t>
      </w:r>
      <w:r>
        <w:rPr>
          <w:bCs/>
          <w:sz w:val="25"/>
          <w:szCs w:val="25"/>
        </w:rPr>
        <w:t>,</w:t>
      </w:r>
      <w:r>
        <w:rPr>
          <w:sz w:val="25"/>
          <w:szCs w:val="25"/>
        </w:rPr>
        <w:t xml:space="preserve"> abrangendo inclusive os relativos à seguridade social,</w:t>
      </w:r>
      <w:r>
        <w:rPr>
          <w:bCs/>
          <w:sz w:val="25"/>
          <w:szCs w:val="25"/>
        </w:rPr>
        <w:t xml:space="preserve"> e à dívida ativa da União</w:t>
      </w:r>
      <w:r>
        <w:rPr>
          <w:sz w:val="25"/>
          <w:szCs w:val="25"/>
        </w:rPr>
        <w:t xml:space="preserve">, </w:t>
      </w:r>
      <w:r>
        <w:rPr>
          <w:bCs/>
          <w:sz w:val="25"/>
          <w:szCs w:val="25"/>
        </w:rPr>
        <w:t>emitida pela Receita Federal;</w:t>
      </w:r>
    </w:p>
    <w:p>
      <w:pPr>
        <w:pStyle w:val="Normal"/>
        <w:ind w:right="140"/>
        <w:jc w:val="both"/>
        <w:rPr>
          <w:sz w:val="25"/>
          <w:szCs w:val="25"/>
        </w:rPr>
      </w:pPr>
      <w:r>
        <w:rPr>
          <w:sz w:val="25"/>
          <w:szCs w:val="25"/>
        </w:rPr>
        <w:t xml:space="preserve">f) Prova de Regularidade junto ao </w:t>
      </w:r>
      <w:r>
        <w:rPr>
          <w:b/>
          <w:bCs/>
          <w:sz w:val="25"/>
          <w:szCs w:val="25"/>
        </w:rPr>
        <w:t>Fundo de Garantia por Tempo de Serviço (FGTS);</w:t>
      </w:r>
    </w:p>
    <w:p>
      <w:pPr>
        <w:pStyle w:val="Normal"/>
        <w:ind w:right="140"/>
        <w:jc w:val="both"/>
        <w:rPr>
          <w:sz w:val="25"/>
          <w:szCs w:val="25"/>
        </w:rPr>
      </w:pPr>
      <w:r>
        <w:rPr>
          <w:bCs/>
          <w:sz w:val="25"/>
          <w:szCs w:val="25"/>
        </w:rPr>
        <w:t xml:space="preserve">g) Prova de Regularidade junto a Justiça do Trabalho </w:t>
      </w:r>
      <w:r>
        <w:rPr>
          <w:b/>
          <w:bCs/>
          <w:sz w:val="25"/>
          <w:szCs w:val="25"/>
        </w:rPr>
        <w:t>(Certidão Negativa de Débitos Trabalhistas)</w:t>
      </w:r>
      <w:r>
        <w:rPr>
          <w:bCs/>
          <w:sz w:val="25"/>
          <w:szCs w:val="25"/>
        </w:rPr>
        <w:t>;</w:t>
      </w:r>
    </w:p>
    <w:p>
      <w:pPr>
        <w:pStyle w:val="Normal"/>
        <w:ind w:right="140"/>
        <w:jc w:val="both"/>
        <w:rPr>
          <w:sz w:val="25"/>
          <w:szCs w:val="25"/>
        </w:rPr>
      </w:pPr>
      <w:r>
        <w:rPr>
          <w:sz w:val="25"/>
          <w:szCs w:val="25"/>
        </w:rPr>
        <w:t xml:space="preserve">h) Certidão Negativa de </w:t>
      </w:r>
      <w:r>
        <w:rPr>
          <w:b/>
          <w:bCs/>
          <w:sz w:val="25"/>
          <w:szCs w:val="25"/>
        </w:rPr>
        <w:t>Falência ou Recuperação Judicial</w:t>
      </w:r>
      <w:r>
        <w:rPr>
          <w:sz w:val="25"/>
          <w:szCs w:val="25"/>
        </w:rPr>
        <w:t xml:space="preserve"> expedida pelo Distribuidor da sede da Pessoa Jurídica (válida se expedida dentro de 90 dias antes da abertura das Propostas).</w:t>
      </w:r>
    </w:p>
    <w:p>
      <w:pPr>
        <w:pStyle w:val="Normal"/>
        <w:ind w:right="140"/>
        <w:jc w:val="both"/>
        <w:rPr>
          <w:sz w:val="25"/>
          <w:szCs w:val="25"/>
        </w:rPr>
      </w:pPr>
      <w:r>
        <w:rPr>
          <w:sz w:val="25"/>
          <w:szCs w:val="25"/>
        </w:rPr>
        <w:t xml:space="preserve">i) </w:t>
      </w:r>
      <w:r>
        <w:rPr>
          <w:bCs/>
          <w:sz w:val="25"/>
          <w:szCs w:val="25"/>
        </w:rPr>
        <w:t xml:space="preserve"> </w:t>
      </w:r>
      <w:r>
        <w:rPr>
          <w:b/>
          <w:bCs/>
          <w:sz w:val="25"/>
          <w:szCs w:val="25"/>
        </w:rPr>
        <w:t>Declarações</w:t>
      </w:r>
      <w:r>
        <w:rPr>
          <w:bCs/>
          <w:sz w:val="25"/>
          <w:szCs w:val="25"/>
        </w:rPr>
        <w:t>, conforme o</w:t>
      </w:r>
      <w:r>
        <w:rPr>
          <w:b/>
          <w:bCs/>
          <w:sz w:val="25"/>
          <w:szCs w:val="25"/>
        </w:rPr>
        <w:t xml:space="preserve"> Anexo III</w:t>
      </w:r>
      <w:r>
        <w:rPr>
          <w:bCs/>
          <w:sz w:val="25"/>
          <w:szCs w:val="25"/>
        </w:rPr>
        <w:t xml:space="preserve"> – Modelos de Declarações para Habilitação;</w:t>
      </w:r>
    </w:p>
    <w:p>
      <w:pPr>
        <w:pStyle w:val="Normal"/>
        <w:ind w:right="140"/>
        <w:jc w:val="both"/>
        <w:rPr>
          <w:sz w:val="25"/>
          <w:szCs w:val="25"/>
        </w:rPr>
      </w:pPr>
      <w:r>
        <w:rPr>
          <w:bCs/>
          <w:sz w:val="25"/>
          <w:szCs w:val="25"/>
        </w:rPr>
        <w:t>j)</w:t>
      </w:r>
      <w:r>
        <w:rPr>
          <w:b/>
          <w:bCs/>
          <w:sz w:val="25"/>
          <w:szCs w:val="25"/>
        </w:rPr>
        <w:t xml:space="preserve"> </w:t>
      </w:r>
      <w:r>
        <w:rPr>
          <w:sz w:val="25"/>
          <w:szCs w:val="25"/>
        </w:rPr>
        <w:t>Declaração firmada por Contador, Técnico Contábil ou Representante Legal</w:t>
      </w:r>
      <w:r>
        <w:rPr>
          <w:bCs/>
          <w:sz w:val="25"/>
          <w:szCs w:val="25"/>
        </w:rPr>
        <w:t xml:space="preserve">, de que a licitante é beneficiária da Lei Complementar nº 123/2006, indispensável para participação dos itens exclusivos para ME/EPP - </w:t>
      </w:r>
      <w:r>
        <w:rPr>
          <w:b/>
          <w:bCs/>
          <w:sz w:val="25"/>
          <w:szCs w:val="25"/>
        </w:rPr>
        <w:t>(Anexo IV).</w:t>
      </w:r>
    </w:p>
    <w:p>
      <w:pPr>
        <w:pStyle w:val="Normal"/>
        <w:ind w:right="140"/>
        <w:jc w:val="both"/>
        <w:rPr>
          <w:sz w:val="25"/>
          <w:szCs w:val="25"/>
        </w:rPr>
      </w:pPr>
      <w:r>
        <w:rPr>
          <w:b/>
          <w:sz w:val="25"/>
          <w:szCs w:val="25"/>
        </w:rPr>
        <w:t xml:space="preserve">OBS.: </w:t>
      </w:r>
      <w:r>
        <w:rPr>
          <w:rFonts w:eastAsia="Calibri"/>
          <w:color w:val="000000"/>
          <w:sz w:val="25"/>
          <w:szCs w:val="25"/>
          <w:lang w:eastAsia="en-US"/>
        </w:rPr>
        <w:t>Tratando-se de filial, os documentos de habilitação deverão estar em nome da filial, exceto aqueles que, pela própria natureza, são emitidos somente em nome da matriz.</w:t>
      </w:r>
    </w:p>
    <w:p>
      <w:pPr>
        <w:pStyle w:val="Normal"/>
        <w:ind w:right="140"/>
        <w:jc w:val="both"/>
        <w:rPr>
          <w:rFonts w:eastAsia="Calibri"/>
          <w:color w:val="000000"/>
          <w:sz w:val="25"/>
          <w:szCs w:val="25"/>
          <w:lang w:eastAsia="en-US"/>
        </w:rPr>
      </w:pPr>
      <w:r>
        <w:rPr>
          <w:rFonts w:eastAsia="Calibri"/>
          <w:color w:val="000000"/>
          <w:sz w:val="25"/>
          <w:szCs w:val="25"/>
          <w:lang w:eastAsia="en-US"/>
        </w:rPr>
      </w:r>
    </w:p>
    <w:p>
      <w:pPr>
        <w:pStyle w:val="Normal"/>
        <w:ind w:right="140"/>
        <w:jc w:val="both"/>
        <w:rPr>
          <w:sz w:val="25"/>
          <w:szCs w:val="25"/>
        </w:rPr>
      </w:pPr>
      <w:r>
        <w:rPr>
          <w:b/>
          <w:sz w:val="25"/>
          <w:szCs w:val="25"/>
        </w:rPr>
        <w:t>4. DA APRESENTAÇÃO DA PROPOSTA</w:t>
      </w:r>
    </w:p>
    <w:p>
      <w:pPr>
        <w:pStyle w:val="Normal"/>
        <w:ind w:right="140"/>
        <w:jc w:val="both"/>
        <w:rPr>
          <w:sz w:val="25"/>
          <w:szCs w:val="25"/>
        </w:rPr>
      </w:pPr>
      <w:r>
        <w:rPr>
          <w:b/>
          <w:sz w:val="25"/>
          <w:szCs w:val="25"/>
        </w:rPr>
        <w:t>4.1.</w:t>
      </w:r>
      <w:r>
        <w:rPr>
          <w:bCs/>
          <w:sz w:val="25"/>
          <w:szCs w:val="25"/>
        </w:rPr>
        <w:t xml:space="preserve"> A licitante será responsável por todas as transações que forem efetuadas em seu nome no sistema eletrônico, assumindo como firmes e verdadeiras a sua proposta e lances.</w:t>
      </w:r>
    </w:p>
    <w:p>
      <w:pPr>
        <w:pStyle w:val="Normal"/>
        <w:ind w:right="140"/>
        <w:jc w:val="both"/>
        <w:rPr>
          <w:sz w:val="25"/>
          <w:szCs w:val="25"/>
        </w:rPr>
      </w:pPr>
      <w:r>
        <w:rPr>
          <w:b/>
          <w:sz w:val="25"/>
          <w:szCs w:val="25"/>
        </w:rPr>
        <w:t>4.2.</w:t>
      </w:r>
      <w:r>
        <w:rPr>
          <w:bCs/>
          <w:sz w:val="25"/>
          <w:szCs w:val="25"/>
        </w:rPr>
        <w:t xml:space="preserve"> Incumbirá à licitante acompanhar as operações no sistema eletrônico durante a sessão pública do Pregão, ficando responsável pelo ônus decorrente da perda de negócios diante de inobservância de qualquer mensagem emitida pelo sistema ou de sua desconexão.</w:t>
      </w:r>
    </w:p>
    <w:p>
      <w:pPr>
        <w:pStyle w:val="Padro"/>
        <w:ind w:right="140"/>
        <w:jc w:val="both"/>
        <w:rPr>
          <w:sz w:val="25"/>
          <w:szCs w:val="25"/>
        </w:rPr>
      </w:pPr>
      <w:r>
        <w:rPr>
          <w:b/>
          <w:bCs/>
          <w:sz w:val="25"/>
          <w:szCs w:val="25"/>
        </w:rPr>
        <w:t>4.3.</w:t>
      </w:r>
      <w:r>
        <w:rPr>
          <w:sz w:val="25"/>
          <w:szCs w:val="25"/>
        </w:rPr>
        <w:t xml:space="preserve"> A </w:t>
      </w:r>
      <w:r>
        <w:rPr>
          <w:b/>
          <w:sz w:val="25"/>
          <w:szCs w:val="25"/>
        </w:rPr>
        <w:t>Proposta de Preços, a qual deverá ser anexada no sistema</w:t>
      </w:r>
      <w:r>
        <w:rPr>
          <w:sz w:val="25"/>
          <w:szCs w:val="25"/>
        </w:rPr>
        <w:t xml:space="preserve"> deverá consignar expressamente, o </w:t>
      </w:r>
      <w:r>
        <w:rPr>
          <w:b/>
          <w:sz w:val="25"/>
          <w:szCs w:val="25"/>
        </w:rPr>
        <w:t xml:space="preserve">valor unitário e total </w:t>
      </w:r>
      <w:r>
        <w:rPr>
          <w:sz w:val="25"/>
          <w:szCs w:val="25"/>
        </w:rPr>
        <w:t>do item ofertado, em moeda nacional (R$). Nos preços deverão estar contempladas quaisquer vantagens, abatimentos, impostos, taxas e contribuições sociais, obrigações trabalhistas, previdenciárias, fiscais e comerciais, que eventualmente incidam sobre a operação ou, ainda, toda e qualquer despesa que venha a incidir sobre o preço dos produtos.</w:t>
      </w:r>
    </w:p>
    <w:p>
      <w:pPr>
        <w:pStyle w:val="Padro"/>
        <w:ind w:right="140"/>
        <w:jc w:val="both"/>
        <w:rPr>
          <w:sz w:val="25"/>
          <w:szCs w:val="25"/>
        </w:rPr>
      </w:pPr>
      <w:r>
        <w:rPr>
          <w:b/>
          <w:bCs/>
          <w:sz w:val="25"/>
          <w:szCs w:val="25"/>
        </w:rPr>
        <w:t>4.4</w:t>
      </w:r>
      <w:r>
        <w:rPr>
          <w:sz w:val="25"/>
          <w:szCs w:val="25"/>
        </w:rPr>
        <w:t>. A validade da proposta será de no mínimo 60 (sessenta) dias, contados a partir da data da sessão pública do Pregão.</w:t>
      </w:r>
    </w:p>
    <w:p>
      <w:pPr>
        <w:pStyle w:val="Padro"/>
        <w:ind w:right="140"/>
        <w:jc w:val="both"/>
        <w:rPr>
          <w:sz w:val="25"/>
          <w:szCs w:val="25"/>
        </w:rPr>
      </w:pPr>
      <w:r>
        <w:rPr>
          <w:b/>
          <w:bCs/>
          <w:sz w:val="25"/>
          <w:szCs w:val="25"/>
        </w:rPr>
        <w:t>4.5.</w:t>
      </w:r>
      <w:r>
        <w:rPr>
          <w:sz w:val="25"/>
          <w:szCs w:val="25"/>
        </w:rPr>
        <w:t xml:space="preserve"> As propostas deverão atender integralmente o </w:t>
      </w:r>
      <w:r>
        <w:rPr>
          <w:b/>
          <w:sz w:val="25"/>
          <w:szCs w:val="25"/>
        </w:rPr>
        <w:t>Termo de Referência – Anexo I</w:t>
      </w:r>
      <w:r>
        <w:rPr>
          <w:sz w:val="25"/>
          <w:szCs w:val="25"/>
        </w:rPr>
        <w:t>, deste Edital.</w:t>
      </w:r>
    </w:p>
    <w:p>
      <w:pPr>
        <w:pStyle w:val="Recuodecorpodetexto31"/>
        <w:ind w:hanging="0" w:right="140"/>
        <w:rPr>
          <w:rFonts w:ascii="Times New Roman" w:hAnsi="Times New Roman" w:cs="Times New Roman"/>
          <w:sz w:val="25"/>
          <w:szCs w:val="25"/>
        </w:rPr>
      </w:pPr>
      <w:r>
        <w:rPr>
          <w:rFonts w:cs="Times New Roman" w:ascii="Times New Roman" w:hAnsi="Times New Roman"/>
          <w:b/>
          <w:bCs/>
          <w:sz w:val="25"/>
          <w:szCs w:val="25"/>
        </w:rPr>
        <w:t>4.6.</w:t>
      </w:r>
      <w:r>
        <w:rPr>
          <w:rFonts w:cs="Times New Roman" w:ascii="Times New Roman" w:hAnsi="Times New Roman"/>
          <w:sz w:val="25"/>
          <w:szCs w:val="25"/>
        </w:rPr>
        <w:t xml:space="preserve"> Serão considerados, para fins de julgamento, os valores constantes nos preços ofertados até, no máximo, duas casas decimais após a vírgula.</w:t>
      </w:r>
    </w:p>
    <w:p>
      <w:pPr>
        <w:pStyle w:val="Normal"/>
        <w:ind w:right="140"/>
        <w:jc w:val="both"/>
        <w:rPr>
          <w:sz w:val="25"/>
          <w:szCs w:val="25"/>
        </w:rPr>
      </w:pPr>
      <w:r>
        <w:rPr>
          <w:b/>
          <w:sz w:val="25"/>
          <w:szCs w:val="25"/>
        </w:rPr>
        <w:t>4.7.</w:t>
      </w:r>
      <w:r>
        <w:rPr>
          <w:sz w:val="25"/>
          <w:szCs w:val="25"/>
        </w:rPr>
        <w:t xml:space="preserve"> </w:t>
      </w:r>
      <w:r>
        <w:rPr>
          <w:bCs/>
          <w:sz w:val="25"/>
          <w:szCs w:val="25"/>
        </w:rPr>
        <w:t>O upload da proposta será de total responsabilidade do licitante, o qual deverá certificar-se de que essa seja visível e legível em sua integridade.</w:t>
      </w:r>
    </w:p>
    <w:p>
      <w:pPr>
        <w:pStyle w:val="Normal"/>
        <w:ind w:right="140"/>
        <w:jc w:val="both"/>
        <w:rPr>
          <w:sz w:val="25"/>
          <w:szCs w:val="25"/>
        </w:rPr>
      </w:pPr>
      <w:r>
        <w:rPr>
          <w:b/>
          <w:sz w:val="25"/>
          <w:szCs w:val="25"/>
        </w:rPr>
        <w:t>4.12.</w:t>
      </w:r>
      <w:r>
        <w:rPr>
          <w:sz w:val="25"/>
          <w:szCs w:val="25"/>
        </w:rPr>
        <w:t xml:space="preserve"> Os licitantes poderão retirar ou substituir as propostas anteriormente inseridas no sistema até o prazo limite para cadastramento destas.</w:t>
      </w:r>
    </w:p>
    <w:p>
      <w:pPr>
        <w:pStyle w:val="Normal"/>
        <w:ind w:right="140"/>
        <w:jc w:val="both"/>
        <w:rPr>
          <w:sz w:val="25"/>
          <w:szCs w:val="25"/>
        </w:rPr>
      </w:pPr>
      <w:r>
        <w:rPr>
          <w:b/>
          <w:sz w:val="25"/>
          <w:szCs w:val="25"/>
        </w:rPr>
        <w:t>4.13.</w:t>
      </w:r>
      <w:r>
        <w:rPr>
          <w:sz w:val="25"/>
          <w:szCs w:val="25"/>
        </w:rPr>
        <w:t xml:space="preserve"> Após a abertura da sessão, não cabe desistência da proposta, salvo por motivo resultante de fato superveniente e aceito pelo Pregoeiro.</w:t>
      </w:r>
    </w:p>
    <w:p>
      <w:pPr>
        <w:pStyle w:val="Normal"/>
        <w:tabs>
          <w:tab w:val="clear" w:pos="708"/>
          <w:tab w:val="left" w:pos="9781" w:leader="none"/>
        </w:tabs>
        <w:ind w:right="140"/>
        <w:jc w:val="both"/>
        <w:rPr>
          <w:sz w:val="25"/>
          <w:szCs w:val="25"/>
        </w:rPr>
      </w:pPr>
      <w:r>
        <w:rPr>
          <w:b/>
          <w:sz w:val="25"/>
          <w:szCs w:val="25"/>
        </w:rPr>
        <w:t>4.14.</w:t>
      </w:r>
      <w:r>
        <w:rPr>
          <w:sz w:val="25"/>
          <w:szCs w:val="25"/>
        </w:rPr>
        <w:t xml:space="preserve"> O encaminhamento da proposta pressupõe o pleno conhecimento e atendimento às exigências de habilitação e das especificações técnicas previstas neste Edital.</w:t>
      </w:r>
    </w:p>
    <w:p>
      <w:pPr>
        <w:pStyle w:val="Normal"/>
        <w:ind w:right="140"/>
        <w:jc w:val="both"/>
        <w:rPr>
          <w:sz w:val="25"/>
          <w:szCs w:val="25"/>
        </w:rPr>
      </w:pPr>
      <w:r>
        <w:rPr>
          <w:b/>
          <w:sz w:val="25"/>
          <w:szCs w:val="25"/>
        </w:rPr>
        <w:t>4.15.</w:t>
      </w:r>
      <w:r>
        <w:rPr>
          <w:sz w:val="25"/>
          <w:szCs w:val="25"/>
        </w:rPr>
        <w:t xml:space="preserve"> Na etapa de Julgamento da Proposta (após a sessão de lances), a empresa vencedora da disputa de lances deverá enviar, no prazo estabelecido pelo pregoeiro a </w:t>
      </w:r>
      <w:r>
        <w:rPr>
          <w:b/>
          <w:sz w:val="25"/>
          <w:szCs w:val="25"/>
        </w:rPr>
        <w:t xml:space="preserve">proposta final atualizada, </w:t>
      </w:r>
      <w:r>
        <w:rPr>
          <w:sz w:val="25"/>
          <w:szCs w:val="25"/>
        </w:rPr>
        <w:t>contendo, ainda, os dados da empresa, tais como razão social, CNPJ, endereço completo, número de telefone, correio eletrônico, dados da conta corrente e o nome do responsável por contatar com o Município de Caçapava do Sul e por assinar o contrato.</w:t>
      </w:r>
    </w:p>
    <w:p>
      <w:pPr>
        <w:pStyle w:val="Normal"/>
        <w:ind w:right="140"/>
        <w:jc w:val="both"/>
        <w:rPr>
          <w:b/>
          <w:sz w:val="25"/>
          <w:szCs w:val="25"/>
        </w:rPr>
      </w:pPr>
      <w:r>
        <w:rPr>
          <w:b/>
          <w:sz w:val="25"/>
          <w:szCs w:val="25"/>
        </w:rPr>
      </w:r>
    </w:p>
    <w:p>
      <w:pPr>
        <w:pStyle w:val="Normal"/>
        <w:ind w:right="140"/>
        <w:jc w:val="both"/>
        <w:rPr>
          <w:sz w:val="25"/>
          <w:szCs w:val="25"/>
        </w:rPr>
      </w:pPr>
      <w:r>
        <w:rPr>
          <w:b/>
          <w:sz w:val="25"/>
          <w:szCs w:val="25"/>
        </w:rPr>
        <w:t>5. DA ABERTURA DA SESSÃO PÚBLICA E CLASSIFICAÇÃO DAS PROPOSTAS</w:t>
      </w:r>
    </w:p>
    <w:p>
      <w:pPr>
        <w:pStyle w:val="Normal"/>
        <w:ind w:right="140"/>
        <w:jc w:val="both"/>
        <w:rPr>
          <w:sz w:val="25"/>
          <w:szCs w:val="25"/>
        </w:rPr>
      </w:pPr>
      <w:r>
        <w:rPr>
          <w:b/>
          <w:sz w:val="25"/>
          <w:szCs w:val="25"/>
        </w:rPr>
        <w:t>5.1.</w:t>
      </w:r>
      <w:r>
        <w:rPr>
          <w:sz w:val="25"/>
          <w:szCs w:val="25"/>
        </w:rPr>
        <w:t xml:space="preserve"> A partir do horário previsto para a abertura das propostas, terá início a sessão pública do Pregão Eletrônico, quando o pregoeiro verificará as propostas apresentadas, classificando aquelas que atendam ao Edital e desclassificando aquelas que não estejam em conformidade com os requisitos estabelecidos.</w:t>
      </w:r>
    </w:p>
    <w:p>
      <w:pPr>
        <w:pStyle w:val="Normal"/>
        <w:ind w:right="140"/>
        <w:jc w:val="both"/>
        <w:rPr>
          <w:sz w:val="25"/>
          <w:szCs w:val="25"/>
        </w:rPr>
      </w:pPr>
      <w:r>
        <w:rPr>
          <w:b/>
          <w:sz w:val="25"/>
          <w:szCs w:val="25"/>
        </w:rPr>
        <w:t>5.1.1.</w:t>
      </w:r>
      <w:r>
        <w:rPr>
          <w:sz w:val="25"/>
          <w:szCs w:val="25"/>
        </w:rPr>
        <w:t xml:space="preserve"> A não desclassificação da proposta não impede o seu julgamento definitivo em sentido contrário, levado a efeito na fase de aceitação.</w:t>
      </w:r>
    </w:p>
    <w:p>
      <w:pPr>
        <w:pStyle w:val="Normal"/>
        <w:ind w:right="140"/>
        <w:jc w:val="both"/>
        <w:rPr>
          <w:sz w:val="25"/>
          <w:szCs w:val="25"/>
        </w:rPr>
      </w:pPr>
      <w:r>
        <w:rPr>
          <w:rFonts w:eastAsia="Calibri"/>
          <w:b/>
          <w:bCs/>
          <w:color w:val="000000"/>
          <w:sz w:val="25"/>
          <w:szCs w:val="25"/>
          <w:lang w:eastAsia="en-US"/>
        </w:rPr>
        <w:t>5.1.2.</w:t>
      </w:r>
      <w:r>
        <w:rPr>
          <w:rFonts w:eastAsia="Calibri"/>
          <w:color w:val="000000"/>
          <w:sz w:val="25"/>
          <w:szCs w:val="25"/>
          <w:lang w:eastAsia="en-US"/>
        </w:rPr>
        <w:t xml:space="preserve"> Não caberá desistência após abertura da sessão, salvo por motivo justo decorrente de fato superveniente e aceito pelo pregoeiro.</w:t>
      </w:r>
    </w:p>
    <w:p>
      <w:pPr>
        <w:pStyle w:val="Normal"/>
        <w:ind w:right="140"/>
        <w:jc w:val="both"/>
        <w:rPr>
          <w:sz w:val="25"/>
          <w:szCs w:val="25"/>
        </w:rPr>
      </w:pPr>
      <w:r>
        <w:rPr>
          <w:b/>
          <w:sz w:val="25"/>
          <w:szCs w:val="25"/>
        </w:rPr>
        <w:t>5.2.</w:t>
      </w:r>
      <w:r>
        <w:rPr>
          <w:sz w:val="25"/>
          <w:szCs w:val="25"/>
        </w:rPr>
        <w:t xml:space="preserve"> O sistema ordenará automaticamente as propostas classificadas, sendo que somente estas participarão da fase de lances.</w:t>
      </w:r>
    </w:p>
    <w:p>
      <w:pPr>
        <w:pStyle w:val="Normal"/>
        <w:ind w:right="140"/>
        <w:jc w:val="both"/>
        <w:rPr>
          <w:sz w:val="25"/>
          <w:szCs w:val="25"/>
        </w:rPr>
      </w:pPr>
      <w:r>
        <w:rPr>
          <w:b/>
          <w:sz w:val="25"/>
          <w:szCs w:val="25"/>
        </w:rPr>
        <w:t>5.3.</w:t>
      </w:r>
      <w:r>
        <w:rPr>
          <w:sz w:val="25"/>
          <w:szCs w:val="25"/>
        </w:rPr>
        <w:t xml:space="preserve"> O sistema disponibilizará campo próprio para troca de mensagens entre o pregoeiro e as licitantes.</w:t>
      </w:r>
    </w:p>
    <w:p>
      <w:pPr>
        <w:pStyle w:val="Normal"/>
        <w:ind w:right="140"/>
        <w:jc w:val="both"/>
        <w:rPr>
          <w:sz w:val="25"/>
          <w:szCs w:val="25"/>
        </w:rPr>
      </w:pPr>
      <w:r>
        <w:rPr>
          <w:b/>
          <w:sz w:val="25"/>
          <w:szCs w:val="25"/>
        </w:rPr>
        <w:t>5.4.</w:t>
      </w:r>
      <w:r>
        <w:rPr>
          <w:sz w:val="25"/>
          <w:szCs w:val="25"/>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pPr>
        <w:pStyle w:val="Normal"/>
        <w:ind w:right="140"/>
        <w:jc w:val="both"/>
        <w:rPr>
          <w:sz w:val="25"/>
          <w:szCs w:val="25"/>
        </w:rPr>
      </w:pPr>
      <w:r>
        <w:rPr>
          <w:b/>
          <w:sz w:val="25"/>
          <w:szCs w:val="25"/>
        </w:rPr>
        <w:t>5.5.</w:t>
      </w:r>
      <w:r>
        <w:rPr>
          <w:sz w:val="25"/>
          <w:szCs w:val="25"/>
        </w:rPr>
        <w:t xml:space="preserve"> A licitante será responsável por todas as transações que forem efetuadas em seu nome no sistema eletrônico, assumindo como firmes e verdadeiros sua proposta e lances.</w:t>
      </w:r>
    </w:p>
    <w:p>
      <w:pPr>
        <w:pStyle w:val="Normal"/>
        <w:ind w:right="140"/>
        <w:jc w:val="both"/>
        <w:rPr>
          <w:b/>
          <w:bCs/>
          <w:sz w:val="25"/>
          <w:szCs w:val="25"/>
        </w:rPr>
      </w:pPr>
      <w:r>
        <w:rPr>
          <w:b/>
          <w:bCs/>
          <w:sz w:val="25"/>
          <w:szCs w:val="25"/>
        </w:rPr>
      </w:r>
    </w:p>
    <w:p>
      <w:pPr>
        <w:pStyle w:val="Normal"/>
        <w:ind w:right="140"/>
        <w:jc w:val="both"/>
        <w:rPr>
          <w:sz w:val="25"/>
          <w:szCs w:val="25"/>
        </w:rPr>
      </w:pPr>
      <w:r>
        <w:rPr>
          <w:b/>
          <w:bCs/>
          <w:sz w:val="25"/>
          <w:szCs w:val="25"/>
        </w:rPr>
        <w:t>6. DA DISPUTA DE LANCES E NEGOCIAÇÃO</w:t>
      </w:r>
    </w:p>
    <w:p>
      <w:pPr>
        <w:pStyle w:val="Normal"/>
        <w:ind w:right="140"/>
        <w:jc w:val="both"/>
        <w:rPr>
          <w:sz w:val="25"/>
          <w:szCs w:val="25"/>
        </w:rPr>
      </w:pPr>
      <w:r>
        <w:rPr>
          <w:b/>
          <w:sz w:val="25"/>
          <w:szCs w:val="25"/>
        </w:rPr>
        <w:t>6.1.</w:t>
      </w:r>
      <w:r>
        <w:rPr>
          <w:sz w:val="25"/>
          <w:szCs w:val="25"/>
        </w:rPr>
        <w:t xml:space="preserve"> Aberta a etapa competitiva, os representantes das licitantes deverão estar conectados ao sistema para participar da sessão de lances.</w:t>
      </w:r>
    </w:p>
    <w:p>
      <w:pPr>
        <w:pStyle w:val="Normal"/>
        <w:ind w:right="140"/>
        <w:jc w:val="both"/>
        <w:rPr>
          <w:sz w:val="25"/>
          <w:szCs w:val="25"/>
        </w:rPr>
      </w:pPr>
      <w:r>
        <w:rPr>
          <w:b/>
          <w:sz w:val="25"/>
          <w:szCs w:val="25"/>
        </w:rPr>
        <w:t>6.2.</w:t>
      </w:r>
      <w:r>
        <w:rPr>
          <w:sz w:val="25"/>
          <w:szCs w:val="25"/>
        </w:rPr>
        <w:t xml:space="preserve"> A cada lance ofertado o participante será imediatamente informado de seu recebimento e respectivo horário de seu registro e valor.</w:t>
      </w:r>
    </w:p>
    <w:p>
      <w:pPr>
        <w:pStyle w:val="Normal"/>
        <w:ind w:right="140"/>
        <w:jc w:val="both"/>
        <w:rPr>
          <w:sz w:val="25"/>
          <w:szCs w:val="25"/>
        </w:rPr>
      </w:pPr>
      <w:r>
        <w:rPr>
          <w:b/>
          <w:sz w:val="25"/>
          <w:szCs w:val="25"/>
        </w:rPr>
        <w:t>6.3.</w:t>
      </w:r>
      <w:r>
        <w:rPr>
          <w:sz w:val="25"/>
          <w:szCs w:val="25"/>
        </w:rPr>
        <w:t xml:space="preserve"> O critério de julgamento de classificação das empresas será </w:t>
      </w:r>
      <w:r>
        <w:rPr>
          <w:b/>
          <w:color w:val="000000"/>
          <w:sz w:val="25"/>
          <w:szCs w:val="25"/>
        </w:rPr>
        <w:t>MENOR PREÇO POR ITEM.</w:t>
      </w:r>
    </w:p>
    <w:p>
      <w:pPr>
        <w:pStyle w:val="Normal"/>
        <w:ind w:right="140"/>
        <w:jc w:val="both"/>
        <w:rPr>
          <w:sz w:val="25"/>
          <w:szCs w:val="25"/>
        </w:rPr>
      </w:pPr>
      <w:r>
        <w:rPr>
          <w:rFonts w:eastAsia="MS Mincho"/>
          <w:b/>
          <w:sz w:val="25"/>
          <w:szCs w:val="25"/>
        </w:rPr>
        <w:t>6.4.</w:t>
      </w:r>
      <w:r>
        <w:rPr>
          <w:rFonts w:eastAsia="MS Mincho"/>
          <w:sz w:val="25"/>
          <w:szCs w:val="25"/>
        </w:rPr>
        <w:t xml:space="preserve"> O lance deverá ser ofertado pelo valor total unitário do item.</w:t>
      </w:r>
    </w:p>
    <w:p>
      <w:pPr>
        <w:pStyle w:val="Normal"/>
        <w:ind w:right="140"/>
        <w:jc w:val="both"/>
        <w:rPr>
          <w:sz w:val="25"/>
          <w:szCs w:val="25"/>
        </w:rPr>
      </w:pPr>
      <w:r>
        <w:rPr>
          <w:b/>
          <w:sz w:val="25"/>
          <w:szCs w:val="25"/>
        </w:rPr>
        <w:t>6.5.</w:t>
      </w:r>
      <w:r>
        <w:rPr>
          <w:sz w:val="25"/>
          <w:szCs w:val="25"/>
        </w:rPr>
        <w:t xml:space="preserve"> A licitante poderá oferecer lances sucessivos, observado o horário fixado e as regras estabelecidas no Edital, sendo que somente poderá oferecer lance </w:t>
      </w:r>
      <w:r>
        <w:rPr>
          <w:color w:val="000000"/>
          <w:sz w:val="25"/>
          <w:szCs w:val="25"/>
        </w:rPr>
        <w:t xml:space="preserve">de valor inferior ao último </w:t>
      </w:r>
      <w:r>
        <w:rPr>
          <w:sz w:val="25"/>
          <w:szCs w:val="25"/>
        </w:rPr>
        <w:t>por ela ofertado e registrado pelo sistema.</w:t>
      </w:r>
    </w:p>
    <w:p>
      <w:pPr>
        <w:pStyle w:val="Normal"/>
        <w:ind w:right="140"/>
        <w:jc w:val="both"/>
        <w:rPr>
          <w:sz w:val="25"/>
          <w:szCs w:val="25"/>
        </w:rPr>
      </w:pPr>
      <w:r>
        <w:rPr>
          <w:rFonts w:eastAsia="MS Mincho"/>
          <w:b/>
          <w:sz w:val="25"/>
          <w:szCs w:val="25"/>
        </w:rPr>
        <w:t xml:space="preserve">6.6. </w:t>
      </w:r>
      <w:r>
        <w:rPr>
          <w:rFonts w:eastAsia="MS Mincho"/>
          <w:sz w:val="25"/>
          <w:szCs w:val="25"/>
        </w:rPr>
        <w:t xml:space="preserve">O </w:t>
      </w:r>
      <w:r>
        <w:rPr>
          <w:rFonts w:eastAsia="MS Mincho"/>
          <w:b/>
          <w:bCs/>
          <w:sz w:val="25"/>
          <w:szCs w:val="25"/>
        </w:rPr>
        <w:t xml:space="preserve">intervalo mínimo </w:t>
      </w:r>
      <w:r>
        <w:rPr>
          <w:rFonts w:eastAsia="MS Mincho"/>
          <w:sz w:val="25"/>
          <w:szCs w:val="25"/>
        </w:rPr>
        <w:t>de diferença de valores ou percentuais entre os lances, que incidirá tanto em relação aos lances intermediários quanto em relação à proposta que cobrir a melhor oferta, deverá ser de 0,10% (dez centésimos por cento)</w:t>
      </w:r>
      <w:r>
        <w:rPr>
          <w:rFonts w:eastAsia="MS Mincho"/>
          <w:bCs/>
          <w:sz w:val="25"/>
          <w:szCs w:val="25"/>
        </w:rPr>
        <w:t>.</w:t>
      </w:r>
    </w:p>
    <w:p>
      <w:pPr>
        <w:pStyle w:val="Normal"/>
        <w:ind w:right="140"/>
        <w:jc w:val="both"/>
        <w:rPr>
          <w:sz w:val="25"/>
          <w:szCs w:val="25"/>
        </w:rPr>
      </w:pPr>
      <w:r>
        <w:rPr>
          <w:b/>
          <w:sz w:val="25"/>
          <w:szCs w:val="25"/>
        </w:rPr>
        <w:t>6.7.</w:t>
      </w:r>
      <w:r>
        <w:rPr>
          <w:sz w:val="25"/>
          <w:szCs w:val="25"/>
        </w:rPr>
        <w:t xml:space="preserve"> Não serão aceitos dois ou mais lances de mesmo valor, prevalecendo aquele que for recebido e registrado no sistema em primeiro lugar.</w:t>
      </w:r>
    </w:p>
    <w:p>
      <w:pPr>
        <w:pStyle w:val="Normal"/>
        <w:ind w:right="140"/>
        <w:jc w:val="both"/>
        <w:rPr>
          <w:sz w:val="25"/>
          <w:szCs w:val="25"/>
        </w:rPr>
      </w:pPr>
      <w:r>
        <w:rPr>
          <w:b/>
          <w:sz w:val="25"/>
          <w:szCs w:val="25"/>
        </w:rPr>
        <w:t>6.8.</w:t>
      </w:r>
      <w:r>
        <w:rPr>
          <w:sz w:val="25"/>
          <w:szCs w:val="25"/>
        </w:rPr>
        <w:t xml:space="preserve"> Na fase de disputa, será observado o seguinte intervalo entre os lances:</w:t>
      </w:r>
    </w:p>
    <w:p>
      <w:pPr>
        <w:pStyle w:val="Normal"/>
        <w:ind w:right="140"/>
        <w:jc w:val="both"/>
        <w:rPr>
          <w:sz w:val="25"/>
          <w:szCs w:val="25"/>
        </w:rPr>
      </w:pPr>
      <w:r>
        <w:rPr>
          <w:b/>
          <w:sz w:val="25"/>
          <w:szCs w:val="25"/>
        </w:rPr>
        <w:t>a)</w:t>
      </w:r>
      <w:r>
        <w:rPr>
          <w:sz w:val="25"/>
          <w:szCs w:val="25"/>
        </w:rPr>
        <w:t xml:space="preserve"> 3 (três) segundos caso os lances sejam ofertados por licitantes diferentes;</w:t>
      </w:r>
    </w:p>
    <w:p>
      <w:pPr>
        <w:pStyle w:val="Normal"/>
        <w:ind w:right="140"/>
        <w:jc w:val="both"/>
        <w:rPr>
          <w:sz w:val="25"/>
          <w:szCs w:val="25"/>
        </w:rPr>
      </w:pPr>
      <w:r>
        <w:rPr>
          <w:b/>
          <w:sz w:val="25"/>
          <w:szCs w:val="25"/>
        </w:rPr>
        <w:t>b)</w:t>
      </w:r>
      <w:r>
        <w:rPr>
          <w:sz w:val="25"/>
          <w:szCs w:val="25"/>
        </w:rPr>
        <w:t xml:space="preserve"> 10 (dez) segundos caso os lances sejam ofertados pela mesma licitante.</w:t>
      </w:r>
    </w:p>
    <w:p>
      <w:pPr>
        <w:pStyle w:val="Normal"/>
        <w:ind w:right="140"/>
        <w:jc w:val="both"/>
        <w:rPr>
          <w:sz w:val="25"/>
          <w:szCs w:val="25"/>
        </w:rPr>
      </w:pPr>
      <w:r>
        <w:rPr>
          <w:b/>
          <w:sz w:val="25"/>
          <w:szCs w:val="25"/>
        </w:rPr>
        <w:t>6.9.</w:t>
      </w:r>
      <w:r>
        <w:rPr>
          <w:sz w:val="25"/>
          <w:szCs w:val="25"/>
        </w:rPr>
        <w:t xml:space="preserve"> Durante o transcurso da disputa, as licitantes serão informadas, em tempo real, do valor do menor lance registrado, vedada a identificação do detentor do lance.</w:t>
      </w:r>
    </w:p>
    <w:p>
      <w:pPr>
        <w:pStyle w:val="Normal"/>
        <w:ind w:right="140"/>
        <w:jc w:val="both"/>
        <w:rPr>
          <w:sz w:val="25"/>
          <w:szCs w:val="25"/>
        </w:rPr>
      </w:pPr>
      <w:r>
        <w:rPr>
          <w:b/>
          <w:sz w:val="25"/>
          <w:szCs w:val="25"/>
        </w:rPr>
        <w:t>6.10.</w:t>
      </w:r>
      <w:r>
        <w:rPr>
          <w:sz w:val="25"/>
          <w:szCs w:val="25"/>
        </w:rPr>
        <w:t xml:space="preserve"> No caso de desconexão do pregoeiro, no decorrer da etapa de lances, se o sistema eletrônico permanecer acessível aos licitantes, os lances continuarão sendo recebidos, sem prejuízo dos atos realizados.</w:t>
      </w:r>
    </w:p>
    <w:p>
      <w:pPr>
        <w:pStyle w:val="Normal"/>
        <w:ind w:right="140"/>
        <w:jc w:val="both"/>
        <w:rPr>
          <w:sz w:val="25"/>
          <w:szCs w:val="25"/>
        </w:rPr>
      </w:pPr>
      <w:r>
        <w:rPr>
          <w:b/>
          <w:sz w:val="25"/>
          <w:szCs w:val="25"/>
        </w:rPr>
        <w:t>6.10.1.</w:t>
      </w:r>
      <w:r>
        <w:rPr>
          <w:sz w:val="25"/>
          <w:szCs w:val="25"/>
        </w:rPr>
        <w:t xml:space="preserve"> Quando a desconexão persistir por tempo superior a 10 (dez) minutos, a sessão do Pregão será suspensa e terá reinício somente após comunicação expressa aos licitantes.</w:t>
      </w:r>
    </w:p>
    <w:p>
      <w:pPr>
        <w:pStyle w:val="Normal"/>
        <w:ind w:right="140"/>
        <w:jc w:val="both"/>
        <w:rPr>
          <w:sz w:val="25"/>
          <w:szCs w:val="25"/>
        </w:rPr>
      </w:pPr>
      <w:r>
        <w:rPr>
          <w:b/>
          <w:sz w:val="25"/>
          <w:szCs w:val="25"/>
        </w:rPr>
        <w:t xml:space="preserve">6.11. </w:t>
      </w:r>
      <w:r>
        <w:rPr>
          <w:sz w:val="25"/>
          <w:szCs w:val="25"/>
        </w:rPr>
        <w:t>Caso o licitante não apresente lances, concorrerá com o valor de sua proposta.</w:t>
      </w:r>
    </w:p>
    <w:p>
      <w:pPr>
        <w:pStyle w:val="Normal"/>
        <w:ind w:right="140"/>
        <w:jc w:val="both"/>
        <w:rPr>
          <w:sz w:val="25"/>
          <w:szCs w:val="25"/>
        </w:rPr>
      </w:pPr>
      <w:r>
        <w:rPr>
          <w:b/>
          <w:sz w:val="25"/>
          <w:szCs w:val="25"/>
        </w:rPr>
        <w:t>6.12.</w:t>
      </w:r>
      <w:r>
        <w:rPr>
          <w:sz w:val="25"/>
          <w:szCs w:val="25"/>
        </w:rPr>
        <w:t xml:space="preserve"> </w:t>
      </w:r>
      <w:r>
        <w:rPr>
          <w:rFonts w:eastAsia="MS Mincho"/>
          <w:color w:val="000000"/>
          <w:sz w:val="25"/>
          <w:szCs w:val="25"/>
        </w:rPr>
        <w:t xml:space="preserve">O procedimento para envio de lances neste pregão eletrônico seguirá de acordo com o </w:t>
      </w:r>
      <w:r>
        <w:rPr>
          <w:rFonts w:eastAsia="MS Mincho"/>
          <w:b/>
          <w:color w:val="000000"/>
          <w:sz w:val="25"/>
          <w:szCs w:val="25"/>
        </w:rPr>
        <w:t>modo</w:t>
      </w:r>
      <w:bookmarkStart w:id="10" w:name="_Hlk113697759"/>
      <w:r>
        <w:rPr>
          <w:rFonts w:eastAsia="MS Mincho"/>
          <w:b/>
          <w:color w:val="000000"/>
          <w:sz w:val="25"/>
          <w:szCs w:val="25"/>
        </w:rPr>
        <w:t xml:space="preserve"> de disputa aberto</w:t>
      </w:r>
      <w:r>
        <w:rPr>
          <w:rFonts w:eastAsia="MS Mincho"/>
          <w:color w:val="000000"/>
          <w:sz w:val="25"/>
          <w:szCs w:val="25"/>
        </w:rPr>
        <w:t>, de forma que as licitantes apresentarão lances públicos e sucessivos, com prorrogações.</w:t>
      </w:r>
    </w:p>
    <w:p>
      <w:pPr>
        <w:pStyle w:val="Normal"/>
        <w:ind w:right="140"/>
        <w:jc w:val="both"/>
        <w:rPr>
          <w:sz w:val="25"/>
          <w:szCs w:val="25"/>
        </w:rPr>
      </w:pPr>
      <w:bookmarkStart w:id="11" w:name="_Hlk113697816"/>
      <w:bookmarkEnd w:id="10"/>
      <w:r>
        <w:rPr>
          <w:rFonts w:eastAsia="MS Mincho"/>
          <w:b/>
          <w:color w:val="000000"/>
          <w:sz w:val="25"/>
          <w:szCs w:val="25"/>
        </w:rPr>
        <w:t>6.12.1.</w:t>
      </w:r>
      <w:r>
        <w:rPr>
          <w:rFonts w:eastAsia="MS Mincho"/>
          <w:color w:val="000000"/>
          <w:sz w:val="25"/>
          <w:szCs w:val="25"/>
        </w:rPr>
        <w:t xml:space="preserve"> A </w:t>
      </w:r>
      <w:r>
        <w:rPr>
          <w:rFonts w:eastAsia="MS Mincho"/>
          <w:b/>
          <w:color w:val="000000"/>
          <w:sz w:val="25"/>
          <w:szCs w:val="25"/>
        </w:rPr>
        <w:t>etapa de lances</w:t>
      </w:r>
      <w:r>
        <w:rPr>
          <w:rFonts w:eastAsia="MS Mincho"/>
          <w:color w:val="000000"/>
          <w:sz w:val="25"/>
          <w:szCs w:val="25"/>
        </w:rPr>
        <w:t xml:space="preserve"> da sessão pública terá duração de </w:t>
      </w:r>
      <w:r>
        <w:rPr>
          <w:rFonts w:eastAsia="MS Mincho"/>
          <w:color w:val="000000"/>
          <w:sz w:val="25"/>
          <w:szCs w:val="25"/>
          <w:u w:val="single"/>
        </w:rPr>
        <w:t>10 (dez) minutos</w:t>
      </w:r>
      <w:r>
        <w:rPr>
          <w:rFonts w:eastAsia="MS Mincho"/>
          <w:color w:val="000000"/>
          <w:sz w:val="25"/>
          <w:szCs w:val="25"/>
        </w:rPr>
        <w:t xml:space="preserve"> e, após isso, será </w:t>
      </w:r>
      <w:r>
        <w:rPr>
          <w:rFonts w:eastAsia="MS Mincho"/>
          <w:b/>
          <w:color w:val="000000"/>
          <w:sz w:val="25"/>
          <w:szCs w:val="25"/>
        </w:rPr>
        <w:t>prorrogada automaticamente</w:t>
      </w:r>
      <w:r>
        <w:rPr>
          <w:rFonts w:eastAsia="MS Mincho"/>
          <w:color w:val="000000"/>
          <w:sz w:val="25"/>
          <w:szCs w:val="25"/>
        </w:rPr>
        <w:t xml:space="preserve"> pelo sistema </w:t>
      </w:r>
      <w:r>
        <w:rPr>
          <w:rFonts w:eastAsia="MS Mincho"/>
          <w:color w:val="000000"/>
          <w:sz w:val="25"/>
          <w:szCs w:val="25"/>
          <w:u w:val="single"/>
        </w:rPr>
        <w:t>quando houver lance ofertado nos últimos 02 (dois) minutos</w:t>
      </w:r>
      <w:r>
        <w:rPr>
          <w:rFonts w:eastAsia="MS Mincho"/>
          <w:color w:val="000000"/>
          <w:sz w:val="25"/>
          <w:szCs w:val="25"/>
        </w:rPr>
        <w:t xml:space="preserve"> do período de duração da sessão pública.</w:t>
      </w:r>
    </w:p>
    <w:p>
      <w:pPr>
        <w:pStyle w:val="Normal"/>
        <w:ind w:right="140"/>
        <w:jc w:val="both"/>
        <w:rPr>
          <w:sz w:val="25"/>
          <w:szCs w:val="25"/>
        </w:rPr>
      </w:pPr>
      <w:r>
        <w:rPr>
          <w:rFonts w:eastAsia="MS Mincho"/>
          <w:b/>
          <w:color w:val="000000"/>
          <w:sz w:val="25"/>
          <w:szCs w:val="25"/>
        </w:rPr>
        <w:t>6.12.2.</w:t>
      </w:r>
      <w:r>
        <w:rPr>
          <w:rFonts w:eastAsia="MS Mincho"/>
          <w:color w:val="000000"/>
          <w:sz w:val="25"/>
          <w:szCs w:val="25"/>
        </w:rPr>
        <w:t xml:space="preserve"> A </w:t>
      </w:r>
      <w:r>
        <w:rPr>
          <w:rFonts w:eastAsia="MS Mincho"/>
          <w:b/>
          <w:color w:val="000000"/>
          <w:sz w:val="25"/>
          <w:szCs w:val="25"/>
        </w:rPr>
        <w:t>prorrogação automática</w:t>
      </w:r>
      <w:r>
        <w:rPr>
          <w:rFonts w:eastAsia="MS Mincho"/>
          <w:color w:val="000000"/>
          <w:sz w:val="25"/>
          <w:szCs w:val="25"/>
        </w:rPr>
        <w:t xml:space="preserve"> da etapa de lances, de que trata o subitem anterior, será de</w:t>
      </w:r>
      <w:r>
        <w:rPr>
          <w:rFonts w:eastAsia="MS Mincho"/>
          <w:b/>
          <w:color w:val="000000"/>
          <w:sz w:val="25"/>
          <w:szCs w:val="25"/>
        </w:rPr>
        <w:t xml:space="preserve"> 02 (dois) minutos</w:t>
      </w:r>
      <w:r>
        <w:rPr>
          <w:rFonts w:eastAsia="MS Mincho"/>
          <w:color w:val="000000"/>
          <w:sz w:val="25"/>
          <w:szCs w:val="25"/>
        </w:rPr>
        <w:t xml:space="preserve"> e ocorrerá sucessivamente sempre que houver lances enviados nesse período de prorrogação, inclusive no caso de lances intermediários.</w:t>
      </w:r>
    </w:p>
    <w:p>
      <w:pPr>
        <w:pStyle w:val="Normal"/>
        <w:ind w:right="140"/>
        <w:jc w:val="both"/>
        <w:rPr>
          <w:sz w:val="25"/>
          <w:szCs w:val="25"/>
        </w:rPr>
      </w:pPr>
      <w:r>
        <w:rPr>
          <w:rFonts w:eastAsia="MS Mincho"/>
          <w:b/>
          <w:color w:val="000000"/>
          <w:sz w:val="25"/>
          <w:szCs w:val="25"/>
        </w:rPr>
        <w:t>6.12.3.</w:t>
      </w:r>
      <w:r>
        <w:rPr>
          <w:rFonts w:eastAsia="MS Mincho"/>
          <w:color w:val="000000"/>
          <w:sz w:val="25"/>
          <w:szCs w:val="25"/>
        </w:rPr>
        <w:t xml:space="preserve"> Não havendo novos lances na forma estabelecida nos itens anteriores, a sessão pública encerrar-se-á automaticamente, e o sistema ordenará e divulgará os lances conforme a ordem final de classificação.</w:t>
      </w:r>
    </w:p>
    <w:p>
      <w:pPr>
        <w:pStyle w:val="Normal"/>
        <w:ind w:right="140"/>
        <w:jc w:val="both"/>
        <w:rPr>
          <w:sz w:val="25"/>
          <w:szCs w:val="25"/>
        </w:rPr>
      </w:pPr>
      <w:r>
        <w:rPr>
          <w:rFonts w:eastAsia="MS Mincho"/>
          <w:b/>
          <w:color w:val="000000"/>
          <w:sz w:val="25"/>
          <w:szCs w:val="25"/>
        </w:rPr>
        <w:t>6.12.4.</w:t>
      </w:r>
      <w:r>
        <w:rPr>
          <w:rFonts w:eastAsia="MS Mincho"/>
          <w:color w:val="000000"/>
          <w:sz w:val="25"/>
          <w:szCs w:val="25"/>
        </w:rPr>
        <w:t xml:space="preserve"> 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ormal"/>
        <w:ind w:right="140"/>
        <w:jc w:val="both"/>
        <w:rPr>
          <w:sz w:val="25"/>
          <w:szCs w:val="25"/>
        </w:rPr>
      </w:pPr>
      <w:r>
        <w:rPr>
          <w:rFonts w:eastAsia="MS Mincho"/>
          <w:b/>
          <w:color w:val="000000"/>
          <w:sz w:val="25"/>
          <w:szCs w:val="25"/>
        </w:rPr>
        <w:t>6.12.5.</w:t>
      </w:r>
      <w:r>
        <w:rPr>
          <w:rFonts w:eastAsia="MS Mincho"/>
          <w:color w:val="000000"/>
          <w:sz w:val="25"/>
          <w:szCs w:val="25"/>
        </w:rPr>
        <w:t xml:space="preserve"> Após o reinício previsto no item supra, os licitantes serão convocados para apresentar lances intermediários.</w:t>
      </w:r>
      <w:bookmarkStart w:id="12" w:name="_Hlk113631522"/>
      <w:bookmarkEnd w:id="11"/>
      <w:bookmarkEnd w:id="12"/>
    </w:p>
    <w:p>
      <w:pPr>
        <w:pStyle w:val="Normal"/>
        <w:ind w:right="140"/>
        <w:jc w:val="both"/>
        <w:rPr>
          <w:sz w:val="25"/>
          <w:szCs w:val="25"/>
        </w:rPr>
      </w:pPr>
      <w:r>
        <w:rPr>
          <w:b/>
          <w:sz w:val="25"/>
          <w:szCs w:val="25"/>
        </w:rPr>
        <w:t xml:space="preserve">6.13. </w:t>
      </w:r>
      <w:r>
        <w:rPr>
          <w:sz w:val="25"/>
          <w:szCs w:val="25"/>
        </w:rPr>
        <w:t>Só poderá haver empate entre propostas iguais (não seguidas de lances).</w:t>
      </w:r>
    </w:p>
    <w:p>
      <w:pPr>
        <w:pStyle w:val="Normal"/>
        <w:tabs>
          <w:tab w:val="clear" w:pos="708"/>
          <w:tab w:val="left" w:pos="2203" w:leader="none"/>
        </w:tabs>
        <w:ind w:right="140"/>
        <w:jc w:val="both"/>
        <w:rPr>
          <w:sz w:val="25"/>
          <w:szCs w:val="25"/>
        </w:rPr>
      </w:pPr>
      <w:r>
        <w:rPr>
          <w:b/>
          <w:sz w:val="25"/>
          <w:szCs w:val="25"/>
        </w:rPr>
        <w:t xml:space="preserve">6.13.1. </w:t>
      </w:r>
      <w:r>
        <w:rPr>
          <w:sz w:val="25"/>
          <w:szCs w:val="25"/>
        </w:rPr>
        <w:t>Havendo eventual empate entre propostas, o critério de desempate será aquele previsto no art. 60 da Lei nº 14.133, de 2021, nesta ordem:</w:t>
      </w:r>
    </w:p>
    <w:p>
      <w:pPr>
        <w:pStyle w:val="Normal"/>
        <w:tabs>
          <w:tab w:val="clear" w:pos="708"/>
          <w:tab w:val="left" w:pos="2203" w:leader="none"/>
        </w:tabs>
        <w:ind w:right="140"/>
        <w:jc w:val="both"/>
        <w:rPr>
          <w:sz w:val="25"/>
          <w:szCs w:val="25"/>
        </w:rPr>
      </w:pPr>
      <w:r>
        <w:rPr>
          <w:b/>
          <w:sz w:val="25"/>
          <w:szCs w:val="25"/>
        </w:rPr>
        <w:t xml:space="preserve">6.13.1.1. </w:t>
      </w:r>
      <w:r>
        <w:rPr>
          <w:sz w:val="25"/>
          <w:szCs w:val="25"/>
        </w:rPr>
        <w:t>disputa final, hipótese em que as licitantes empatadas poderão apresentar nova proposta em ato contínuo à classificação;</w:t>
      </w:r>
    </w:p>
    <w:p>
      <w:pPr>
        <w:pStyle w:val="Normal"/>
        <w:tabs>
          <w:tab w:val="clear" w:pos="708"/>
          <w:tab w:val="left" w:pos="2203" w:leader="none"/>
        </w:tabs>
        <w:ind w:right="140"/>
        <w:jc w:val="both"/>
        <w:rPr>
          <w:sz w:val="25"/>
          <w:szCs w:val="25"/>
        </w:rPr>
      </w:pPr>
      <w:r>
        <w:rPr>
          <w:b/>
          <w:sz w:val="25"/>
          <w:szCs w:val="25"/>
        </w:rPr>
        <w:t xml:space="preserve">6.13.1.2. </w:t>
      </w:r>
      <w:r>
        <w:rPr>
          <w:sz w:val="25"/>
          <w:szCs w:val="25"/>
        </w:rPr>
        <w:t>avaliação do desempenho contratual prévio das licitantes, para a qual deverão preferencialmente ser utilizados registros cadastrais para efeito de atesto de cumprimento de obrigações previstos nesta Lei;</w:t>
      </w:r>
    </w:p>
    <w:p>
      <w:pPr>
        <w:pStyle w:val="Normal"/>
        <w:ind w:right="140"/>
        <w:jc w:val="both"/>
        <w:rPr>
          <w:sz w:val="25"/>
          <w:szCs w:val="25"/>
        </w:rPr>
      </w:pPr>
      <w:r>
        <w:rPr>
          <w:b/>
          <w:sz w:val="25"/>
          <w:szCs w:val="25"/>
        </w:rPr>
        <w:t xml:space="preserve">6.13.1.3. </w:t>
      </w:r>
      <w:r>
        <w:rPr>
          <w:sz w:val="25"/>
          <w:szCs w:val="25"/>
        </w:rPr>
        <w:t>desenvolvimento pela licitante de ações de equidade entre homens e mulheres no ambiente de trabalho, conforme regulamento;</w:t>
      </w:r>
    </w:p>
    <w:p>
      <w:pPr>
        <w:pStyle w:val="Normal"/>
        <w:ind w:right="140"/>
        <w:jc w:val="both"/>
        <w:rPr>
          <w:sz w:val="25"/>
          <w:szCs w:val="25"/>
        </w:rPr>
      </w:pPr>
      <w:r>
        <w:rPr>
          <w:b/>
          <w:sz w:val="25"/>
          <w:szCs w:val="25"/>
        </w:rPr>
        <w:t xml:space="preserve">6.13.1.4. </w:t>
      </w:r>
      <w:r>
        <w:rPr>
          <w:sz w:val="25"/>
          <w:szCs w:val="25"/>
        </w:rPr>
        <w:t>desenvolvimento pela licitante de programa de integridade, conforme orientações dos órgãos de controle.</w:t>
      </w:r>
    </w:p>
    <w:p>
      <w:pPr>
        <w:pStyle w:val="Normal"/>
        <w:ind w:right="140"/>
        <w:jc w:val="both"/>
        <w:rPr>
          <w:sz w:val="25"/>
          <w:szCs w:val="25"/>
        </w:rPr>
      </w:pPr>
      <w:r>
        <w:rPr>
          <w:b/>
          <w:sz w:val="25"/>
          <w:szCs w:val="25"/>
        </w:rPr>
        <w:t xml:space="preserve">6.13.2. </w:t>
      </w:r>
      <w:r>
        <w:rPr>
          <w:sz w:val="25"/>
          <w:szCs w:val="25"/>
        </w:rPr>
        <w:t>Persistindo o empate, será assegurada preferência, sucessivamente, aos bens e serviços produzidos ou prestados por:</w:t>
      </w:r>
    </w:p>
    <w:p>
      <w:pPr>
        <w:pStyle w:val="Normal"/>
        <w:ind w:right="140"/>
        <w:jc w:val="both"/>
        <w:rPr>
          <w:sz w:val="25"/>
          <w:szCs w:val="25"/>
        </w:rPr>
      </w:pPr>
      <w:r>
        <w:rPr>
          <w:b/>
          <w:sz w:val="25"/>
          <w:szCs w:val="25"/>
        </w:rPr>
        <w:t xml:space="preserve">6.13.2.1. </w:t>
      </w:r>
      <w:r>
        <w:rPr>
          <w:sz w:val="25"/>
          <w:szCs w:val="25"/>
        </w:rPr>
        <w:t>empresas estabelecidas no território do estado do Rio Grande do Sul;</w:t>
      </w:r>
    </w:p>
    <w:p>
      <w:pPr>
        <w:pStyle w:val="Normal"/>
        <w:ind w:right="140"/>
        <w:jc w:val="both"/>
        <w:rPr>
          <w:sz w:val="25"/>
          <w:szCs w:val="25"/>
        </w:rPr>
      </w:pPr>
      <w:r>
        <w:rPr>
          <w:b/>
          <w:sz w:val="25"/>
          <w:szCs w:val="25"/>
        </w:rPr>
        <w:t xml:space="preserve">6.13.2.2. </w:t>
      </w:r>
      <w:r>
        <w:rPr>
          <w:sz w:val="25"/>
          <w:szCs w:val="25"/>
        </w:rPr>
        <w:t>empresas brasileiras;</w:t>
      </w:r>
    </w:p>
    <w:p>
      <w:pPr>
        <w:pStyle w:val="Normal"/>
        <w:ind w:right="140"/>
        <w:jc w:val="both"/>
        <w:rPr>
          <w:sz w:val="25"/>
          <w:szCs w:val="25"/>
        </w:rPr>
      </w:pPr>
      <w:r>
        <w:rPr>
          <w:b/>
          <w:sz w:val="25"/>
          <w:szCs w:val="25"/>
        </w:rPr>
        <w:t xml:space="preserve">6.13.2.3. </w:t>
      </w:r>
      <w:r>
        <w:rPr>
          <w:sz w:val="25"/>
          <w:szCs w:val="25"/>
        </w:rPr>
        <w:t>empresas que invistam em pesquisa e no desenvolvimento de tecnologia no País;</w:t>
      </w:r>
    </w:p>
    <w:p>
      <w:pPr>
        <w:pStyle w:val="Normal"/>
        <w:ind w:right="140"/>
        <w:jc w:val="both"/>
        <w:rPr>
          <w:sz w:val="25"/>
          <w:szCs w:val="25"/>
        </w:rPr>
      </w:pPr>
      <w:r>
        <w:rPr>
          <w:b/>
          <w:sz w:val="25"/>
          <w:szCs w:val="25"/>
        </w:rPr>
        <w:t xml:space="preserve">6.13.2.4. </w:t>
      </w:r>
      <w:r>
        <w:rPr>
          <w:sz w:val="25"/>
          <w:szCs w:val="25"/>
        </w:rPr>
        <w:t>empresas que comprovem a prática de mitigação, nos termos da Lei nº 12.187, de 29 de dezembro de 2009.</w:t>
      </w:r>
    </w:p>
    <w:p>
      <w:pPr>
        <w:pStyle w:val="Normal"/>
        <w:tabs>
          <w:tab w:val="clear" w:pos="708"/>
          <w:tab w:val="left" w:pos="2203" w:leader="none"/>
        </w:tabs>
        <w:ind w:right="140"/>
        <w:jc w:val="both"/>
        <w:rPr>
          <w:sz w:val="25"/>
          <w:szCs w:val="25"/>
        </w:rPr>
      </w:pPr>
      <w:r>
        <w:rPr>
          <w:b/>
          <w:sz w:val="25"/>
          <w:szCs w:val="25"/>
        </w:rPr>
        <w:t>6.14.</w:t>
      </w:r>
      <w:r>
        <w:rPr>
          <w:sz w:val="25"/>
          <w:szCs w:val="25"/>
        </w:rPr>
        <w:t xml:space="preserve"> Encerrada a etapa de envio de lances da sessão pública, o pregoeiro poderá realizar a negociação com a primeira colocada, de forma a obter condições mais vantajosas para a Administração.</w:t>
      </w:r>
    </w:p>
    <w:p>
      <w:pPr>
        <w:pStyle w:val="Normal"/>
        <w:tabs>
          <w:tab w:val="clear" w:pos="708"/>
          <w:tab w:val="left" w:pos="2203" w:leader="none"/>
        </w:tabs>
        <w:ind w:right="140"/>
        <w:jc w:val="both"/>
        <w:rPr>
          <w:sz w:val="25"/>
          <w:szCs w:val="25"/>
        </w:rPr>
      </w:pPr>
      <w:r>
        <w:rPr>
          <w:b/>
          <w:sz w:val="25"/>
          <w:szCs w:val="25"/>
        </w:rPr>
        <w:t xml:space="preserve">6.14.1. </w:t>
      </w:r>
      <w:r>
        <w:rPr>
          <w:sz w:val="25"/>
          <w:szCs w:val="25"/>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pPr>
        <w:pStyle w:val="Normal"/>
        <w:tabs>
          <w:tab w:val="clear" w:pos="708"/>
          <w:tab w:val="left" w:pos="2203" w:leader="none"/>
        </w:tabs>
        <w:ind w:right="140"/>
        <w:jc w:val="both"/>
        <w:rPr>
          <w:sz w:val="25"/>
          <w:szCs w:val="25"/>
        </w:rPr>
      </w:pPr>
      <w:r>
        <w:rPr>
          <w:b/>
          <w:sz w:val="25"/>
          <w:szCs w:val="25"/>
        </w:rPr>
        <w:t xml:space="preserve">6.14.2. </w:t>
      </w:r>
      <w:r>
        <w:rPr>
          <w:sz w:val="25"/>
          <w:szCs w:val="25"/>
        </w:rPr>
        <w:t>A negociação será realizada por meio do sistema, podendo ser acompanhada pelas demais licitantes.</w:t>
      </w:r>
    </w:p>
    <w:p>
      <w:pPr>
        <w:pStyle w:val="Normal"/>
        <w:tabs>
          <w:tab w:val="clear" w:pos="708"/>
          <w:tab w:val="left" w:pos="2203" w:leader="none"/>
        </w:tabs>
        <w:ind w:right="140"/>
        <w:jc w:val="both"/>
        <w:rPr>
          <w:sz w:val="25"/>
          <w:szCs w:val="25"/>
        </w:rPr>
      </w:pPr>
      <w:r>
        <w:rPr>
          <w:b/>
          <w:sz w:val="25"/>
          <w:szCs w:val="25"/>
        </w:rPr>
        <w:t>6.14.3.</w:t>
      </w:r>
      <w:r>
        <w:rPr>
          <w:sz w:val="25"/>
          <w:szCs w:val="25"/>
        </w:rPr>
        <w:t xml:space="preserve"> O valor ofertado durante a negociação deverá ser registrado em campo próprio do sistema.</w:t>
      </w:r>
    </w:p>
    <w:p>
      <w:pPr>
        <w:pStyle w:val="Normal"/>
        <w:tabs>
          <w:tab w:val="clear" w:pos="708"/>
          <w:tab w:val="left" w:pos="2203" w:leader="none"/>
        </w:tabs>
        <w:ind w:right="140"/>
        <w:jc w:val="both"/>
        <w:rPr>
          <w:sz w:val="25"/>
          <w:szCs w:val="25"/>
        </w:rPr>
      </w:pPr>
      <w:r>
        <w:rPr>
          <w:b/>
          <w:sz w:val="25"/>
          <w:szCs w:val="25"/>
        </w:rPr>
        <w:t>6.15.</w:t>
      </w:r>
      <w:r>
        <w:rPr>
          <w:sz w:val="25"/>
          <w:szCs w:val="25"/>
        </w:rPr>
        <w:t xml:space="preserve"> Após a negociação do preço, o pregoeiro iniciará a fase de aceitação e julgamento da proposta.</w:t>
      </w:r>
    </w:p>
    <w:p>
      <w:pPr>
        <w:pStyle w:val="Normal"/>
        <w:tabs>
          <w:tab w:val="clear" w:pos="708"/>
          <w:tab w:val="left" w:pos="2203" w:leader="none"/>
        </w:tabs>
        <w:ind w:right="140"/>
        <w:jc w:val="both"/>
        <w:rPr>
          <w:sz w:val="25"/>
          <w:szCs w:val="25"/>
        </w:rPr>
      </w:pPr>
      <w:r>
        <w:rPr>
          <w:sz w:val="25"/>
          <w:szCs w:val="25"/>
        </w:rPr>
      </w:r>
    </w:p>
    <w:p>
      <w:pPr>
        <w:pStyle w:val="Normal"/>
        <w:ind w:right="140"/>
        <w:jc w:val="both"/>
        <w:rPr>
          <w:sz w:val="25"/>
          <w:szCs w:val="25"/>
        </w:rPr>
      </w:pPr>
      <w:r>
        <w:rPr>
          <w:b/>
          <w:sz w:val="25"/>
          <w:szCs w:val="25"/>
        </w:rPr>
        <w:t>7. DA ACEITAÇÃO E JULGAMENTO DA PROPOSTA</w:t>
      </w:r>
    </w:p>
    <w:p>
      <w:pPr>
        <w:pStyle w:val="Normal"/>
        <w:tabs>
          <w:tab w:val="clear" w:pos="708"/>
          <w:tab w:val="left" w:pos="2203" w:leader="none"/>
        </w:tabs>
        <w:ind w:right="140"/>
        <w:jc w:val="both"/>
        <w:rPr>
          <w:sz w:val="25"/>
          <w:szCs w:val="25"/>
        </w:rPr>
      </w:pPr>
      <w:r>
        <w:rPr>
          <w:b/>
          <w:sz w:val="25"/>
          <w:szCs w:val="25"/>
        </w:rPr>
        <w:t xml:space="preserve">7.1. </w:t>
      </w:r>
      <w:r>
        <w:rPr>
          <w:sz w:val="25"/>
          <w:szCs w:val="25"/>
        </w:rPr>
        <w:t>Encerrada a negociação, o pregoeiro examinará a proposta classificada em primeiro lugar quanto à compatibilidade do preço em relação ao estimado para a contratação e, em caso positivo, aceitará o valor.</w:t>
      </w:r>
    </w:p>
    <w:p>
      <w:pPr>
        <w:pStyle w:val="Normal"/>
        <w:tabs>
          <w:tab w:val="clear" w:pos="708"/>
          <w:tab w:val="left" w:pos="2203" w:leader="none"/>
        </w:tabs>
        <w:ind w:right="140"/>
        <w:jc w:val="both"/>
        <w:rPr>
          <w:sz w:val="25"/>
          <w:szCs w:val="25"/>
        </w:rPr>
      </w:pPr>
      <w:r>
        <w:rPr>
          <w:b/>
          <w:sz w:val="25"/>
          <w:szCs w:val="25"/>
        </w:rPr>
        <w:t xml:space="preserve">7.2. </w:t>
      </w:r>
      <w:r>
        <w:rPr>
          <w:sz w:val="25"/>
          <w:szCs w:val="25"/>
        </w:rPr>
        <w:t>Caso o valor seja aceito, o pregoeiro designará prazo e solicitará ao licitante mais bem classificado para que realize o upload da proposta final, adequada ao último lance ofertado após a negociação realizada, acompanhada, se for o caso, dos documentos complementares requeridos.</w:t>
      </w:r>
    </w:p>
    <w:p>
      <w:pPr>
        <w:pStyle w:val="Normal"/>
        <w:tabs>
          <w:tab w:val="clear" w:pos="708"/>
          <w:tab w:val="left" w:pos="2203" w:leader="none"/>
        </w:tabs>
        <w:ind w:right="140"/>
        <w:jc w:val="both"/>
        <w:rPr>
          <w:sz w:val="25"/>
          <w:szCs w:val="25"/>
        </w:rPr>
      </w:pPr>
      <w:r>
        <w:rPr>
          <w:b/>
          <w:sz w:val="25"/>
          <w:szCs w:val="25"/>
        </w:rPr>
        <w:t>7.2.1.</w:t>
      </w:r>
      <w:r>
        <w:rPr>
          <w:sz w:val="25"/>
          <w:szCs w:val="25"/>
        </w:rPr>
        <w:t xml:space="preserve"> É facultado ao pregoeiro prorrogar o prazo estabelecido, a partir de solicitação fundamentada feita no chat pelo licitante ou de ofício.</w:t>
      </w:r>
    </w:p>
    <w:p>
      <w:pPr>
        <w:pStyle w:val="Normal"/>
        <w:tabs>
          <w:tab w:val="clear" w:pos="708"/>
          <w:tab w:val="left" w:pos="2203" w:leader="none"/>
        </w:tabs>
        <w:ind w:right="140"/>
        <w:jc w:val="both"/>
        <w:rPr>
          <w:sz w:val="25"/>
          <w:szCs w:val="25"/>
        </w:rPr>
      </w:pPr>
      <w:r>
        <w:rPr>
          <w:b/>
          <w:sz w:val="25"/>
          <w:szCs w:val="25"/>
        </w:rPr>
        <w:t>7.2.2.</w:t>
      </w:r>
      <w:r>
        <w:rPr>
          <w:sz w:val="25"/>
          <w:szCs w:val="25"/>
        </w:rPr>
        <w:t xml:space="preserve"> Caso o lance final seja diverso do inicial, o valor unitário deverá ser atualizado na aba “Valor Itens”, durante o prazo disponibilizado.</w:t>
      </w:r>
    </w:p>
    <w:p>
      <w:pPr>
        <w:pStyle w:val="BodyText"/>
        <w:ind w:right="140"/>
        <w:rPr>
          <w:sz w:val="25"/>
          <w:szCs w:val="25"/>
        </w:rPr>
      </w:pPr>
      <w:r>
        <w:rPr>
          <w:b/>
          <w:sz w:val="25"/>
          <w:szCs w:val="25"/>
        </w:rPr>
        <w:t>7.3.</w:t>
      </w:r>
      <w:r>
        <w:rPr>
          <w:sz w:val="25"/>
          <w:szCs w:val="25"/>
        </w:rPr>
        <w:t xml:space="preserve"> Será desclassificada a proposta que:</w:t>
      </w:r>
    </w:p>
    <w:p>
      <w:pPr>
        <w:pStyle w:val="ListParagraph"/>
        <w:numPr>
          <w:ilvl w:val="0"/>
          <w:numId w:val="4"/>
        </w:numPr>
        <w:suppressAutoHyphens w:val="true"/>
        <w:ind w:hanging="0" w:left="0" w:right="140"/>
        <w:rPr>
          <w:sz w:val="25"/>
          <w:szCs w:val="25"/>
        </w:rPr>
      </w:pPr>
      <w:r>
        <w:rPr>
          <w:sz w:val="25"/>
          <w:szCs w:val="25"/>
        </w:rPr>
        <w:t>contiver vícios insanáveis;</w:t>
      </w:r>
    </w:p>
    <w:p>
      <w:pPr>
        <w:pStyle w:val="ListParagraph"/>
        <w:numPr>
          <w:ilvl w:val="0"/>
          <w:numId w:val="4"/>
        </w:numPr>
        <w:suppressAutoHyphens w:val="true"/>
        <w:ind w:hanging="0" w:left="0" w:right="140"/>
        <w:rPr>
          <w:sz w:val="25"/>
          <w:szCs w:val="25"/>
        </w:rPr>
      </w:pPr>
      <w:r>
        <w:rPr>
          <w:sz w:val="25"/>
          <w:szCs w:val="25"/>
        </w:rPr>
        <w:t>não atender às especificações técnicas contidas no Termo de Referência;</w:t>
      </w:r>
    </w:p>
    <w:p>
      <w:pPr>
        <w:pStyle w:val="ListParagraph"/>
        <w:numPr>
          <w:ilvl w:val="0"/>
          <w:numId w:val="4"/>
        </w:numPr>
        <w:suppressAutoHyphens w:val="true"/>
        <w:ind w:hanging="0" w:left="0" w:right="140"/>
        <w:rPr>
          <w:sz w:val="25"/>
          <w:szCs w:val="25"/>
        </w:rPr>
      </w:pPr>
      <w:r>
        <w:rPr>
          <w:sz w:val="25"/>
          <w:szCs w:val="25"/>
        </w:rPr>
        <w:t>apresentar preços inexequíveis ou permanecerem acima do preço máximo definido para a contratação;</w:t>
      </w:r>
    </w:p>
    <w:p>
      <w:pPr>
        <w:pStyle w:val="ListParagraph"/>
        <w:numPr>
          <w:ilvl w:val="0"/>
          <w:numId w:val="4"/>
        </w:numPr>
        <w:suppressAutoHyphens w:val="true"/>
        <w:ind w:hanging="0" w:left="0" w:right="140"/>
        <w:rPr>
          <w:sz w:val="25"/>
          <w:szCs w:val="25"/>
        </w:rPr>
      </w:pPr>
      <w:r>
        <w:rPr>
          <w:sz w:val="25"/>
          <w:szCs w:val="25"/>
        </w:rPr>
        <w:t>não tiver sua exequibilidade demonstrada, quando exigido pela Administração;</w:t>
      </w:r>
    </w:p>
    <w:p>
      <w:pPr>
        <w:pStyle w:val="ListParagraph"/>
        <w:numPr>
          <w:ilvl w:val="0"/>
          <w:numId w:val="4"/>
        </w:numPr>
        <w:suppressAutoHyphens w:val="true"/>
        <w:ind w:hanging="0" w:left="0" w:right="140"/>
        <w:rPr>
          <w:sz w:val="25"/>
          <w:szCs w:val="25"/>
        </w:rPr>
      </w:pPr>
      <w:r>
        <w:rPr>
          <w:sz w:val="25"/>
          <w:szCs w:val="25"/>
        </w:rPr>
        <w:t>não atender a todos os requisitos exigidos no item 4 deste Edital;</w:t>
      </w:r>
    </w:p>
    <w:p>
      <w:pPr>
        <w:pStyle w:val="ListParagraph"/>
        <w:numPr>
          <w:ilvl w:val="0"/>
          <w:numId w:val="4"/>
        </w:numPr>
        <w:suppressAutoHyphens w:val="true"/>
        <w:ind w:hanging="0" w:left="0" w:right="140"/>
        <w:rPr>
          <w:sz w:val="25"/>
          <w:szCs w:val="25"/>
        </w:rPr>
      </w:pPr>
      <w:r>
        <w:rPr>
          <w:sz w:val="25"/>
          <w:szCs w:val="25"/>
        </w:rPr>
        <w:t>apresentar desconformidade com quaisquer outras exigências deste Edital ou seus anexos, desde que insanável.</w:t>
      </w:r>
    </w:p>
    <w:p>
      <w:pPr>
        <w:pStyle w:val="ListParagraph"/>
        <w:numPr>
          <w:ilvl w:val="0"/>
          <w:numId w:val="4"/>
        </w:numPr>
        <w:suppressAutoHyphens w:val="true"/>
        <w:ind w:hanging="0" w:left="0" w:right="140"/>
        <w:rPr>
          <w:sz w:val="25"/>
          <w:szCs w:val="25"/>
        </w:rPr>
      </w:pPr>
      <w:r>
        <w:rPr>
          <w:sz w:val="25"/>
          <w:szCs w:val="25"/>
        </w:rPr>
        <w:t>opuser-se a qualquer dispositivo legal vigente.</w:t>
      </w:r>
    </w:p>
    <w:p>
      <w:pPr>
        <w:pStyle w:val="Normal"/>
        <w:ind w:right="140"/>
        <w:jc w:val="both"/>
        <w:rPr>
          <w:sz w:val="25"/>
          <w:szCs w:val="25"/>
        </w:rPr>
      </w:pPr>
      <w:r>
        <w:rPr>
          <w:b/>
          <w:sz w:val="25"/>
          <w:szCs w:val="25"/>
        </w:rPr>
        <w:t>7.4.</w:t>
      </w:r>
      <w:r>
        <w:rPr>
          <w:sz w:val="25"/>
          <w:szCs w:val="25"/>
        </w:rPr>
        <w:t xml:space="preserve"> Serão desconsideradas, para efeito de julgamento, vantagens não requeridas neste Edital.</w:t>
      </w:r>
    </w:p>
    <w:p>
      <w:pPr>
        <w:pStyle w:val="BodyText"/>
        <w:ind w:right="140"/>
        <w:rPr>
          <w:sz w:val="25"/>
          <w:szCs w:val="25"/>
        </w:rPr>
      </w:pPr>
      <w:r>
        <w:rPr>
          <w:b/>
          <w:bCs/>
          <w:sz w:val="25"/>
          <w:szCs w:val="25"/>
        </w:rPr>
        <w:t>7.5.</w:t>
      </w:r>
      <w:r>
        <w:rPr>
          <w:bCs/>
          <w:sz w:val="25"/>
          <w:szCs w:val="25"/>
        </w:rPr>
        <w:t xml:space="preserve"> Os valores registrados no sistema eletrônico prevalecerão sobre os constantes no anexo da proposta, se houver divergência.</w:t>
      </w:r>
    </w:p>
    <w:p>
      <w:pPr>
        <w:pStyle w:val="BodyText"/>
        <w:ind w:right="140"/>
        <w:rPr>
          <w:sz w:val="25"/>
          <w:szCs w:val="25"/>
        </w:rPr>
      </w:pPr>
      <w:r>
        <w:rPr>
          <w:b/>
          <w:bCs/>
          <w:sz w:val="25"/>
          <w:szCs w:val="25"/>
        </w:rPr>
        <w:t>7.6.</w:t>
      </w:r>
      <w:r>
        <w:rPr>
          <w:bCs/>
          <w:sz w:val="25"/>
          <w:szCs w:val="25"/>
        </w:rPr>
        <w:t xml:space="preserve"> Se houver indícios de inexequibilidade da proposta de preço, ou em caso da necessidade de esclarecimentos complementares, poderão ser efetuadas diligências, para que a empresa comprove a exequibilidade da proposta.</w:t>
      </w:r>
    </w:p>
    <w:p>
      <w:pPr>
        <w:pStyle w:val="BodyText"/>
        <w:ind w:right="140"/>
        <w:rPr>
          <w:sz w:val="25"/>
          <w:szCs w:val="25"/>
        </w:rPr>
      </w:pPr>
      <w:r>
        <w:rPr>
          <w:b/>
          <w:bCs/>
          <w:sz w:val="25"/>
          <w:szCs w:val="25"/>
        </w:rPr>
        <w:t>7.7.</w:t>
      </w:r>
      <w:r>
        <w:rPr>
          <w:bCs/>
          <w:sz w:val="25"/>
          <w:szCs w:val="25"/>
        </w:rPr>
        <w:t xml:space="preserve"> 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ela elaborada, com os respectivos valores adequados ao valor final da sua proposta, no prazo de </w:t>
      </w:r>
      <w:r>
        <w:rPr>
          <w:bCs/>
          <w:sz w:val="25"/>
          <w:szCs w:val="25"/>
          <w:u w:val="single"/>
        </w:rPr>
        <w:t>24 (vinte e quatro) horas</w:t>
      </w:r>
      <w:r>
        <w:rPr>
          <w:bCs/>
          <w:sz w:val="25"/>
          <w:szCs w:val="25"/>
        </w:rPr>
        <w:t>, sob pena de não aceitação da proposta.</w:t>
      </w:r>
    </w:p>
    <w:p>
      <w:pPr>
        <w:pStyle w:val="BodyText"/>
        <w:ind w:right="140"/>
        <w:rPr>
          <w:sz w:val="25"/>
          <w:szCs w:val="25"/>
        </w:rPr>
      </w:pPr>
      <w:r>
        <w:rPr>
          <w:b/>
          <w:bCs/>
          <w:sz w:val="25"/>
          <w:szCs w:val="25"/>
        </w:rPr>
        <w:t>7.7.1.</w:t>
      </w:r>
      <w:r>
        <w:rPr>
          <w:bCs/>
          <w:sz w:val="25"/>
          <w:szCs w:val="25"/>
        </w:rPr>
        <w:t xml:space="preserve">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pPr>
        <w:pStyle w:val="Normal"/>
        <w:ind w:right="140"/>
        <w:jc w:val="both"/>
        <w:rPr>
          <w:sz w:val="25"/>
          <w:szCs w:val="25"/>
        </w:rPr>
      </w:pPr>
      <w:r>
        <w:rPr>
          <w:b/>
          <w:bCs/>
          <w:sz w:val="25"/>
          <w:szCs w:val="25"/>
        </w:rPr>
        <w:t>7.8.</w:t>
      </w:r>
      <w:r>
        <w:rPr>
          <w:bCs/>
          <w:sz w:val="25"/>
          <w:szCs w:val="25"/>
        </w:rPr>
        <w:t xml:space="preserve"> Erros no preenchimento da planilha não constituem motivo para a desclassificação da proposta. A planilha poderá ser ajustada pelo fornecedor, no prazo definido pelo pregoeiro, desde que não haja majoração do preço.</w:t>
      </w:r>
    </w:p>
    <w:p>
      <w:pPr>
        <w:pStyle w:val="Normal"/>
        <w:ind w:right="140"/>
        <w:jc w:val="both"/>
        <w:rPr>
          <w:sz w:val="25"/>
          <w:szCs w:val="25"/>
        </w:rPr>
      </w:pPr>
      <w:r>
        <w:rPr>
          <w:b/>
          <w:bCs/>
          <w:sz w:val="25"/>
          <w:szCs w:val="25"/>
        </w:rPr>
        <w:t>7.8.1.</w:t>
      </w:r>
      <w:r>
        <w:rPr>
          <w:bCs/>
          <w:sz w:val="25"/>
          <w:szCs w:val="25"/>
        </w:rPr>
        <w:t xml:space="preserve"> O ajuste de que trata este dispositivo se limita a sanar erros ou falhas que não alterem a substância das propostas.</w:t>
      </w:r>
    </w:p>
    <w:p>
      <w:pPr>
        <w:pStyle w:val="Normal"/>
        <w:ind w:right="140"/>
        <w:jc w:val="both"/>
        <w:rPr>
          <w:sz w:val="25"/>
          <w:szCs w:val="25"/>
        </w:rPr>
      </w:pPr>
      <w:r>
        <w:rPr>
          <w:b/>
          <w:bCs/>
          <w:sz w:val="25"/>
          <w:szCs w:val="25"/>
        </w:rPr>
        <w:t>7.8.2.</w:t>
      </w:r>
      <w:r>
        <w:rPr>
          <w:bCs/>
          <w:sz w:val="25"/>
          <w:szCs w:val="25"/>
        </w:rPr>
        <w:t xml:space="preserve"> Também será considerado erro no preenchimento da planilha, e, portanto, passível de correção, a indicação de recolhimento de impostos e contribuições na forma do Simples Nacional, quando não cabível esse regime.</w:t>
      </w:r>
    </w:p>
    <w:p>
      <w:pPr>
        <w:pStyle w:val="Normal"/>
        <w:ind w:right="140"/>
        <w:jc w:val="both"/>
        <w:rPr>
          <w:sz w:val="25"/>
          <w:szCs w:val="25"/>
        </w:rPr>
      </w:pPr>
      <w:r>
        <w:rPr>
          <w:b/>
          <w:bCs/>
          <w:sz w:val="25"/>
          <w:szCs w:val="25"/>
        </w:rPr>
        <w:t>7.9.</w:t>
      </w:r>
      <w:r>
        <w:rPr>
          <w:bCs/>
          <w:sz w:val="25"/>
          <w:szCs w:val="25"/>
        </w:rPr>
        <w:t xml:space="preserve"> A critério do pregoeiro, em se verificando prejuízos à celeridade do procedimento licitatório, será desclassificada a proposta que não corrigir ou não justificar eventuais falhas apontadas pelo pregoeiro, respeitados os prazos mínimos definidos neste edital.</w:t>
      </w:r>
    </w:p>
    <w:p>
      <w:pPr>
        <w:pStyle w:val="Normal"/>
        <w:ind w:right="140"/>
        <w:jc w:val="both"/>
        <w:rPr>
          <w:sz w:val="25"/>
          <w:szCs w:val="25"/>
        </w:rPr>
      </w:pPr>
      <w:r>
        <w:rPr>
          <w:b/>
          <w:bCs/>
          <w:sz w:val="25"/>
          <w:szCs w:val="25"/>
        </w:rPr>
        <w:t>7.11.1.</w:t>
      </w:r>
      <w:r>
        <w:rPr>
          <w:bCs/>
          <w:sz w:val="25"/>
          <w:szCs w:val="25"/>
        </w:rPr>
        <w:t xml:space="preserve"> Será observada a divulgação a todos os interessados.</w:t>
      </w:r>
    </w:p>
    <w:p>
      <w:pPr>
        <w:pStyle w:val="BodyText"/>
        <w:ind w:right="140"/>
        <w:rPr>
          <w:sz w:val="25"/>
          <w:szCs w:val="25"/>
        </w:rPr>
      </w:pPr>
      <w:r>
        <w:rPr>
          <w:b/>
          <w:bCs/>
          <w:sz w:val="25"/>
          <w:szCs w:val="25"/>
        </w:rPr>
        <w:t>7.11.2.</w:t>
      </w:r>
      <w:r>
        <w:rPr>
          <w:bCs/>
          <w:sz w:val="25"/>
          <w:szCs w:val="25"/>
        </w:rPr>
        <w:t xml:space="preserve"> Em caso de divergência entre informações contidas em documentação impressa e na proposta específica, prevalecerão as da proposta.</w:t>
      </w:r>
    </w:p>
    <w:p>
      <w:pPr>
        <w:pStyle w:val="BodyText"/>
        <w:ind w:right="140"/>
        <w:rPr>
          <w:bCs/>
          <w:sz w:val="25"/>
          <w:szCs w:val="25"/>
        </w:rPr>
      </w:pPr>
      <w:r>
        <w:rPr>
          <w:bCs/>
          <w:sz w:val="25"/>
          <w:szCs w:val="25"/>
        </w:rPr>
      </w:r>
    </w:p>
    <w:p>
      <w:pPr>
        <w:pStyle w:val="Normal"/>
        <w:ind w:right="140"/>
        <w:jc w:val="both"/>
        <w:rPr>
          <w:sz w:val="25"/>
          <w:szCs w:val="25"/>
        </w:rPr>
      </w:pPr>
      <w:r>
        <w:rPr>
          <w:rFonts w:eastAsia="Calibri"/>
          <w:b/>
          <w:bCs/>
          <w:color w:val="000000"/>
          <w:sz w:val="25"/>
          <w:szCs w:val="25"/>
          <w:lang w:eastAsia="en-US"/>
        </w:rPr>
        <w:t>8. DA IMPUGNAÇÃO AO EDITAL E DO PEDIDO DE ESCLARECIMENTO</w:t>
      </w:r>
    </w:p>
    <w:p>
      <w:pPr>
        <w:pStyle w:val="Normal"/>
        <w:ind w:right="140"/>
        <w:jc w:val="both"/>
        <w:rPr>
          <w:sz w:val="25"/>
          <w:szCs w:val="25"/>
        </w:rPr>
      </w:pPr>
      <w:r>
        <w:rPr>
          <w:rFonts w:eastAsia="MS Mincho"/>
          <w:b/>
          <w:color w:val="000000"/>
          <w:sz w:val="25"/>
          <w:szCs w:val="25"/>
        </w:rPr>
        <w:t>8.1.</w:t>
      </w:r>
      <w:r>
        <w:rPr>
          <w:rFonts w:eastAsia="MS Mincho"/>
          <w:color w:val="000000"/>
          <w:sz w:val="25"/>
          <w:szCs w:val="25"/>
        </w:rPr>
        <w:t xml:space="preserve"> Qualquer pessoa é parte legítima para impugnar este Edital por irregularidade na aplicação da </w:t>
      </w:r>
      <w:hyperlink r:id="rId6">
        <w:r>
          <w:rPr>
            <w:rStyle w:val="Hyperlink"/>
            <w:rFonts w:eastAsia="MS Mincho"/>
            <w:color w:val="000080"/>
            <w:sz w:val="25"/>
            <w:szCs w:val="25"/>
          </w:rPr>
          <w:t>Lei nº 14.133, de 2021</w:t>
        </w:r>
      </w:hyperlink>
      <w:r>
        <w:rPr>
          <w:rFonts w:eastAsia="MS Mincho"/>
          <w:color w:val="000000"/>
          <w:sz w:val="25"/>
          <w:szCs w:val="25"/>
        </w:rPr>
        <w:t xml:space="preserve">, ou para solicitar esclarecimento sobre os seus termos, devendo protocolar o pedido até 3 (três) dias úteis antes da data da abertura do certame, exclusivamente </w:t>
      </w:r>
      <w:r>
        <w:rPr>
          <w:rFonts w:eastAsia="Calibri"/>
          <w:color w:val="000000"/>
          <w:sz w:val="25"/>
          <w:szCs w:val="25"/>
          <w:lang w:eastAsia="en-US"/>
        </w:rPr>
        <w:t xml:space="preserve">através do sítio eletrônico </w:t>
      </w:r>
      <w:hyperlink r:id="rId7">
        <w:r>
          <w:rPr>
            <w:rStyle w:val="Hyperlink"/>
            <w:rFonts w:eastAsia="Calibri"/>
            <w:sz w:val="25"/>
            <w:szCs w:val="25"/>
          </w:rPr>
          <w:t>https://pregaobanrisul.com.br</w:t>
        </w:r>
      </w:hyperlink>
      <w:r>
        <w:rPr>
          <w:rFonts w:eastAsia="MS Mincho"/>
          <w:color w:val="000000"/>
          <w:sz w:val="25"/>
          <w:szCs w:val="25"/>
        </w:rPr>
        <w:t>.</w:t>
      </w:r>
    </w:p>
    <w:p>
      <w:pPr>
        <w:pStyle w:val="Normal"/>
        <w:ind w:right="140"/>
        <w:jc w:val="both"/>
        <w:rPr>
          <w:sz w:val="25"/>
          <w:szCs w:val="25"/>
        </w:rPr>
      </w:pPr>
      <w:r>
        <w:rPr>
          <w:rFonts w:eastAsia="MS Mincho"/>
          <w:b/>
          <w:color w:val="000000"/>
          <w:sz w:val="25"/>
          <w:szCs w:val="25"/>
        </w:rPr>
        <w:t xml:space="preserve">8.2. </w:t>
      </w:r>
      <w:r>
        <w:rPr>
          <w:rFonts w:eastAsia="MS Mincho"/>
          <w:color w:val="000000"/>
          <w:sz w:val="25"/>
          <w:szCs w:val="25"/>
        </w:rPr>
        <w:t>A resposta à impugnação ou ao pedido de esclarecimento será divulgado em sítio eletrônico oficial no prazo de até 03 (três) dias úteis, limitado ao último dia útil anterior à data da abertura do certame.</w:t>
      </w:r>
    </w:p>
    <w:p>
      <w:pPr>
        <w:pStyle w:val="Normal"/>
        <w:ind w:right="140"/>
        <w:jc w:val="both"/>
        <w:rPr>
          <w:rFonts w:eastAsia="MS Mincho"/>
          <w:b/>
          <w:color w:val="000000"/>
          <w:sz w:val="25"/>
          <w:szCs w:val="25"/>
        </w:rPr>
      </w:pPr>
      <w:r>
        <w:rPr>
          <w:rFonts w:eastAsia="MS Mincho"/>
          <w:b/>
          <w:color w:val="000000"/>
          <w:sz w:val="25"/>
          <w:szCs w:val="25"/>
        </w:rPr>
        <w:t xml:space="preserve">8.3. </w:t>
      </w:r>
      <w:r>
        <w:rPr>
          <w:rFonts w:eastAsia="MS Mincho"/>
          <w:color w:val="000000"/>
          <w:sz w:val="25"/>
          <w:szCs w:val="25"/>
        </w:rPr>
        <w:t>A impugnação e o pedido de esclarecimento poderão ser encaminhados, de forma eletrônica,</w:t>
      </w:r>
      <w:r>
        <w:rPr>
          <w:rFonts w:eastAsia="Calibri"/>
          <w:color w:val="000000"/>
          <w:sz w:val="25"/>
          <w:szCs w:val="25"/>
          <w:lang w:eastAsia="en-US"/>
        </w:rPr>
        <w:t xml:space="preserve"> através do sítio eletrônico </w:t>
      </w:r>
      <w:hyperlink r:id="rId8">
        <w:r>
          <w:rPr>
            <w:rStyle w:val="Hyperlink"/>
            <w:rFonts w:eastAsia="Calibri"/>
            <w:sz w:val="25"/>
            <w:szCs w:val="25"/>
          </w:rPr>
          <w:t>https://pregaobanrisul.com.br</w:t>
        </w:r>
      </w:hyperlink>
      <w:r>
        <w:rPr>
          <w:rFonts w:eastAsia="Calibri"/>
          <w:color w:val="000000"/>
          <w:sz w:val="25"/>
          <w:szCs w:val="25"/>
          <w:lang w:eastAsia="en-US"/>
        </w:rPr>
        <w:t>.</w:t>
      </w:r>
    </w:p>
    <w:p>
      <w:pPr>
        <w:pStyle w:val="Normal"/>
        <w:ind w:right="140"/>
        <w:jc w:val="both"/>
        <w:rPr>
          <w:sz w:val="25"/>
          <w:szCs w:val="25"/>
        </w:rPr>
      </w:pPr>
      <w:r>
        <w:rPr>
          <w:rFonts w:eastAsia="MS Mincho"/>
          <w:b/>
          <w:color w:val="000000"/>
          <w:sz w:val="25"/>
          <w:szCs w:val="25"/>
        </w:rPr>
        <w:t xml:space="preserve">8.4. </w:t>
      </w:r>
      <w:r>
        <w:rPr>
          <w:rFonts w:eastAsia="MS Mincho"/>
          <w:color w:val="000000"/>
          <w:sz w:val="25"/>
          <w:szCs w:val="25"/>
        </w:rPr>
        <w:t>As impugnações e pedidos de esclarecimentos não suspendem os prazos previstos no certame.</w:t>
      </w:r>
    </w:p>
    <w:p>
      <w:pPr>
        <w:pStyle w:val="Normal"/>
        <w:ind w:right="140"/>
        <w:jc w:val="both"/>
        <w:rPr>
          <w:sz w:val="25"/>
          <w:szCs w:val="25"/>
        </w:rPr>
      </w:pPr>
      <w:r>
        <w:rPr>
          <w:rFonts w:eastAsia="MS Mincho"/>
          <w:b/>
          <w:color w:val="000000"/>
          <w:sz w:val="25"/>
          <w:szCs w:val="25"/>
        </w:rPr>
        <w:t xml:space="preserve">8.5. </w:t>
      </w:r>
      <w:r>
        <w:rPr>
          <w:rFonts w:eastAsia="MS Mincho"/>
          <w:color w:val="000000"/>
          <w:sz w:val="25"/>
          <w:szCs w:val="25"/>
        </w:rPr>
        <w:t>Acolhida a impugnação, será definida e publicada nova data para a realização do certame.</w:t>
      </w:r>
    </w:p>
    <w:p>
      <w:pPr>
        <w:pStyle w:val="Normal"/>
        <w:ind w:right="140"/>
        <w:jc w:val="both"/>
        <w:rPr>
          <w:rFonts w:eastAsia="MS Mincho"/>
          <w:b/>
          <w:bCs/>
          <w:color w:val="000000"/>
          <w:sz w:val="25"/>
          <w:szCs w:val="25"/>
        </w:rPr>
      </w:pPr>
      <w:r>
        <w:rPr>
          <w:rFonts w:eastAsia="MS Mincho"/>
          <w:b/>
          <w:bCs/>
          <w:color w:val="000000"/>
          <w:sz w:val="25"/>
          <w:szCs w:val="25"/>
        </w:rPr>
      </w:r>
    </w:p>
    <w:p>
      <w:pPr>
        <w:pStyle w:val="Normal"/>
        <w:ind w:right="140"/>
        <w:jc w:val="both"/>
        <w:rPr>
          <w:b/>
          <w:bCs/>
          <w:color w:val="000000"/>
          <w:sz w:val="25"/>
          <w:szCs w:val="25"/>
        </w:rPr>
      </w:pPr>
      <w:r>
        <w:rPr>
          <w:b/>
          <w:bCs/>
          <w:color w:val="000000"/>
          <w:sz w:val="25"/>
          <w:szCs w:val="25"/>
        </w:rPr>
      </w:r>
    </w:p>
    <w:p>
      <w:pPr>
        <w:pStyle w:val="Normal"/>
        <w:ind w:right="140"/>
        <w:jc w:val="both"/>
        <w:rPr>
          <w:sz w:val="25"/>
          <w:szCs w:val="25"/>
        </w:rPr>
      </w:pPr>
      <w:r>
        <w:rPr>
          <w:b/>
          <w:bCs/>
          <w:color w:val="000000"/>
          <w:sz w:val="25"/>
          <w:szCs w:val="25"/>
        </w:rPr>
        <w:t>9. DOS RECURSOS</w:t>
      </w:r>
    </w:p>
    <w:p>
      <w:pPr>
        <w:pStyle w:val="Normal"/>
        <w:ind w:right="140"/>
        <w:jc w:val="both"/>
        <w:rPr>
          <w:sz w:val="25"/>
          <w:szCs w:val="25"/>
        </w:rPr>
      </w:pPr>
      <w:r>
        <w:rPr>
          <w:rFonts w:eastAsia="Calibri"/>
          <w:b/>
          <w:bCs/>
          <w:color w:val="000000"/>
          <w:sz w:val="25"/>
          <w:szCs w:val="25"/>
          <w:lang w:eastAsia="en-US"/>
        </w:rPr>
        <w:t>9.1.</w:t>
      </w:r>
      <w:r>
        <w:rPr>
          <w:rFonts w:eastAsia="Calibri"/>
          <w:bCs/>
          <w:color w:val="000000"/>
          <w:sz w:val="25"/>
          <w:szCs w:val="25"/>
          <w:lang w:eastAsia="en-US"/>
        </w:rPr>
        <w:t xml:space="preserve"> A interposição de recurso referente ao julgamento das propostas, à habilitação ou inabilitação de licitantes, à anulação ou revogação da licitação, observará o disposto no </w:t>
      </w:r>
      <w:r>
        <w:fldChar w:fldCharType="begin"/>
      </w:r>
      <w:r>
        <w:rPr>
          <w:rStyle w:val="Hyperlink"/>
          <w:sz w:val="25"/>
          <w:szCs w:val="25"/>
          <w:bCs/>
          <w:rFonts w:eastAsia="Calibri"/>
          <w:lang w:eastAsia="en-US"/>
        </w:rPr>
        <w:instrText xml:space="preserve"> HYPERLINK "http://www.planalto.gov.br/ccivil_03/_ato2019-2022/2021/lei/L14133.htm" \l "art165"</w:instrText>
      </w:r>
      <w:r>
        <w:rPr>
          <w:rStyle w:val="Hyperlink"/>
          <w:sz w:val="25"/>
          <w:szCs w:val="25"/>
          <w:bCs/>
          <w:rFonts w:eastAsia="Calibri"/>
          <w:lang w:eastAsia="en-US"/>
        </w:rPr>
        <w:fldChar w:fldCharType="separate"/>
      </w:r>
      <w:r>
        <w:rPr>
          <w:rStyle w:val="Hyperlink"/>
          <w:rFonts w:eastAsia="Calibri"/>
          <w:bCs/>
          <w:sz w:val="25"/>
          <w:szCs w:val="25"/>
          <w:lang w:eastAsia="en-US"/>
        </w:rPr>
        <w:t>art. 165 da Lei nº 14.133, de 2021</w:t>
      </w:r>
      <w:r>
        <w:rPr>
          <w:rStyle w:val="Hyperlink"/>
          <w:sz w:val="25"/>
          <w:szCs w:val="25"/>
          <w:bCs/>
          <w:rFonts w:eastAsia="Calibri"/>
          <w:lang w:eastAsia="en-US"/>
        </w:rPr>
        <w:fldChar w:fldCharType="end"/>
      </w:r>
      <w:r>
        <w:rPr>
          <w:rFonts w:eastAsia="Calibri"/>
          <w:bCs/>
          <w:color w:val="000000"/>
          <w:sz w:val="25"/>
          <w:szCs w:val="25"/>
          <w:lang w:eastAsia="en-US"/>
        </w:rPr>
        <w:t>.</w:t>
      </w:r>
    </w:p>
    <w:p>
      <w:pPr>
        <w:pStyle w:val="Normal"/>
        <w:ind w:right="140"/>
        <w:jc w:val="both"/>
        <w:rPr>
          <w:sz w:val="25"/>
          <w:szCs w:val="25"/>
        </w:rPr>
      </w:pPr>
      <w:r>
        <w:rPr>
          <w:rFonts w:eastAsia="Calibri"/>
          <w:b/>
          <w:bCs/>
          <w:color w:val="000000"/>
          <w:sz w:val="25"/>
          <w:szCs w:val="25"/>
          <w:lang w:eastAsia="en-US"/>
        </w:rPr>
        <w:t>9.2.</w:t>
      </w:r>
      <w:r>
        <w:rPr>
          <w:rFonts w:eastAsia="Calibri"/>
          <w:color w:val="000000"/>
          <w:sz w:val="25"/>
          <w:szCs w:val="25"/>
          <w:lang w:eastAsia="en-US"/>
        </w:rPr>
        <w:t xml:space="preserve"> Aceita a intenção de recurso, conceder-se-á à recorrente o prazo de 03 (três) dias úteis para apresentação das razões escritas.</w:t>
      </w:r>
    </w:p>
    <w:p>
      <w:pPr>
        <w:pStyle w:val="Normal"/>
        <w:ind w:right="140"/>
        <w:jc w:val="both"/>
        <w:rPr>
          <w:sz w:val="25"/>
          <w:szCs w:val="25"/>
        </w:rPr>
      </w:pPr>
      <w:r>
        <w:rPr>
          <w:rFonts w:eastAsia="Calibri"/>
          <w:b/>
          <w:bCs/>
          <w:color w:val="000000"/>
          <w:sz w:val="25"/>
          <w:szCs w:val="25"/>
          <w:lang w:eastAsia="en-US"/>
        </w:rPr>
        <w:t>9.3.</w:t>
      </w:r>
      <w:r>
        <w:rPr>
          <w:rFonts w:eastAsia="Calibri"/>
          <w:color w:val="000000"/>
          <w:sz w:val="25"/>
          <w:szCs w:val="25"/>
          <w:lang w:eastAsia="en-US"/>
        </w:rPr>
        <w:t xml:space="preserve"> Findo o prazo, ficam as demais licitantes intimadas a apresentarem contrarrazões, no prazo de 03 (três) dias úteis.</w:t>
      </w:r>
    </w:p>
    <w:p>
      <w:pPr>
        <w:pStyle w:val="Normal"/>
        <w:ind w:right="140"/>
        <w:jc w:val="both"/>
        <w:rPr>
          <w:sz w:val="25"/>
          <w:szCs w:val="25"/>
        </w:rPr>
      </w:pPr>
      <w:r>
        <w:rPr>
          <w:rFonts w:eastAsia="Calibri"/>
          <w:b/>
          <w:bCs/>
          <w:color w:val="000000"/>
          <w:sz w:val="25"/>
          <w:szCs w:val="25"/>
          <w:lang w:eastAsia="en-US"/>
        </w:rPr>
        <w:t>9.4.</w:t>
      </w:r>
      <w:r>
        <w:rPr>
          <w:rFonts w:eastAsia="Calibri"/>
          <w:color w:val="000000"/>
          <w:sz w:val="25"/>
          <w:szCs w:val="25"/>
          <w:lang w:eastAsia="en-US"/>
        </w:rPr>
        <w:t xml:space="preserve"> As razões e as contrarrazões devem ser interpostas por escrito, dirigidas ao Pregoeiro e anexadas </w:t>
      </w:r>
      <w:r>
        <w:rPr>
          <w:rFonts w:eastAsia="Calibri"/>
          <w:bCs/>
          <w:color w:val="000000"/>
          <w:sz w:val="25"/>
          <w:szCs w:val="25"/>
          <w:lang w:eastAsia="en-US"/>
        </w:rPr>
        <w:t>ao sistema</w:t>
      </w:r>
      <w:r>
        <w:rPr>
          <w:rFonts w:eastAsia="Calibri"/>
          <w:color w:val="000000"/>
          <w:sz w:val="25"/>
          <w:szCs w:val="25"/>
          <w:lang w:eastAsia="en-US"/>
        </w:rPr>
        <w:t>.</w:t>
      </w:r>
    </w:p>
    <w:p>
      <w:pPr>
        <w:pStyle w:val="Normal"/>
        <w:ind w:right="140"/>
        <w:jc w:val="both"/>
        <w:rPr>
          <w:sz w:val="25"/>
          <w:szCs w:val="25"/>
        </w:rPr>
      </w:pPr>
      <w:r>
        <w:rPr>
          <w:rFonts w:eastAsia="Calibri"/>
          <w:b/>
          <w:color w:val="000000"/>
          <w:sz w:val="25"/>
          <w:szCs w:val="25"/>
          <w:lang w:eastAsia="en-US"/>
        </w:rPr>
        <w:t xml:space="preserve">9.5. </w:t>
      </w:r>
      <w:r>
        <w:rPr>
          <w:rFonts w:eastAsia="Calibri"/>
          <w:color w:val="000000"/>
          <w:sz w:val="25"/>
          <w:szCs w:val="25"/>
          <w:lang w:eastAsia="en-US"/>
        </w:rPr>
        <w:t>Não serão conhecidas as razões e as contrarrazões de recursos apresentadas intempestivamente.</w:t>
      </w:r>
    </w:p>
    <w:p>
      <w:pPr>
        <w:pStyle w:val="Normal"/>
        <w:ind w:right="140"/>
        <w:jc w:val="both"/>
        <w:rPr>
          <w:sz w:val="25"/>
          <w:szCs w:val="25"/>
        </w:rPr>
      </w:pPr>
      <w:r>
        <w:rPr>
          <w:rFonts w:eastAsia="Calibri"/>
          <w:b/>
          <w:color w:val="000000"/>
          <w:sz w:val="25"/>
          <w:szCs w:val="25"/>
          <w:lang w:eastAsia="en-US"/>
        </w:rPr>
        <w:t xml:space="preserve">9.6. </w:t>
      </w:r>
      <w:r>
        <w:rPr>
          <w:rFonts w:eastAsia="Calibri"/>
          <w:color w:val="000000"/>
          <w:sz w:val="25"/>
          <w:szCs w:val="25"/>
          <w:lang w:eastAsia="en-US"/>
        </w:rPr>
        <w:t>O acolhimento de recurso importará a invalidação apenas dos atos insuscetíveis de aproveitamento.</w:t>
      </w:r>
    </w:p>
    <w:p>
      <w:pPr>
        <w:pStyle w:val="Normal"/>
        <w:ind w:right="140"/>
        <w:jc w:val="both"/>
        <w:rPr>
          <w:sz w:val="25"/>
          <w:szCs w:val="25"/>
        </w:rPr>
      </w:pPr>
      <w:r>
        <w:rPr>
          <w:rFonts w:eastAsia="Calibri"/>
          <w:b/>
          <w:bCs/>
          <w:color w:val="000000"/>
          <w:sz w:val="25"/>
          <w:szCs w:val="25"/>
          <w:lang w:eastAsia="en-US"/>
        </w:rPr>
        <w:t>9.7.</w:t>
      </w:r>
      <w:r>
        <w:rPr>
          <w:rFonts w:eastAsia="Calibri"/>
          <w:color w:val="000000"/>
          <w:sz w:val="25"/>
          <w:szCs w:val="25"/>
          <w:lang w:eastAsia="en-US"/>
        </w:rPr>
        <w:t xml:space="preserve"> Analisado(s) o(s) recurso(s) e constatada a regularidade dos atos procedimentais, o pregoeiro dará continuidade ao certame.</w:t>
      </w:r>
    </w:p>
    <w:p>
      <w:pPr>
        <w:pStyle w:val="Normal"/>
        <w:ind w:right="140"/>
        <w:jc w:val="both"/>
        <w:rPr>
          <w:sz w:val="25"/>
          <w:szCs w:val="25"/>
        </w:rPr>
      </w:pPr>
      <w:r>
        <w:rPr>
          <w:sz w:val="25"/>
          <w:szCs w:val="25"/>
        </w:rPr>
      </w:r>
    </w:p>
    <w:p>
      <w:pPr>
        <w:pStyle w:val="Normal"/>
        <w:ind w:right="140"/>
        <w:jc w:val="both"/>
        <w:rPr>
          <w:sz w:val="25"/>
          <w:szCs w:val="25"/>
        </w:rPr>
      </w:pPr>
      <w:r>
        <w:rPr>
          <w:rFonts w:eastAsia="Calibri"/>
          <w:b/>
          <w:bCs/>
          <w:color w:val="000000"/>
          <w:sz w:val="25"/>
          <w:szCs w:val="25"/>
          <w:lang w:eastAsia="en-US"/>
        </w:rPr>
        <w:t>10. DA ADJUDICAÇÃO E HOMOLOGAÇÃO</w:t>
      </w:r>
    </w:p>
    <w:p>
      <w:pPr>
        <w:pStyle w:val="Normal"/>
        <w:ind w:right="140"/>
        <w:jc w:val="both"/>
        <w:rPr>
          <w:sz w:val="25"/>
          <w:szCs w:val="25"/>
        </w:rPr>
      </w:pPr>
      <w:r>
        <w:rPr>
          <w:rFonts w:eastAsia="Calibri"/>
          <w:b/>
          <w:bCs/>
          <w:color w:val="000000"/>
          <w:sz w:val="25"/>
          <w:szCs w:val="25"/>
          <w:lang w:eastAsia="en-US"/>
        </w:rPr>
        <w:t xml:space="preserve">10.1. </w:t>
      </w:r>
      <w:r>
        <w:rPr>
          <w:rFonts w:eastAsia="Calibri"/>
          <w:color w:val="000000"/>
          <w:sz w:val="25"/>
          <w:szCs w:val="25"/>
          <w:lang w:eastAsia="en-US"/>
        </w:rPr>
        <w:t>O objeto da licitação será adjudicado à licitante da proposta vencedora:</w:t>
      </w:r>
    </w:p>
    <w:p>
      <w:pPr>
        <w:pStyle w:val="Normal"/>
        <w:ind w:right="140"/>
        <w:jc w:val="both"/>
        <w:rPr>
          <w:sz w:val="25"/>
          <w:szCs w:val="25"/>
        </w:rPr>
      </w:pPr>
      <w:r>
        <w:rPr>
          <w:rFonts w:eastAsia="Calibri"/>
          <w:b/>
          <w:bCs/>
          <w:color w:val="000000"/>
          <w:sz w:val="25"/>
          <w:szCs w:val="25"/>
          <w:lang w:eastAsia="en-US"/>
        </w:rPr>
        <w:t xml:space="preserve">10.2. </w:t>
      </w:r>
      <w:r>
        <w:rPr>
          <w:rFonts w:eastAsia="Calibri"/>
          <w:bCs/>
          <w:color w:val="000000"/>
          <w:sz w:val="25"/>
          <w:szCs w:val="25"/>
          <w:lang w:eastAsia="en-US"/>
        </w:rPr>
        <w:t>A homologação do certame será realizada pelo Prefeito.</w:t>
      </w:r>
    </w:p>
    <w:p>
      <w:pPr>
        <w:pStyle w:val="ListParagraph"/>
        <w:widowControl w:val="false"/>
        <w:ind w:left="0" w:right="140"/>
        <w:rPr>
          <w:sz w:val="25"/>
          <w:szCs w:val="25"/>
        </w:rPr>
      </w:pPr>
      <w:r>
        <w:rPr>
          <w:b/>
          <w:sz w:val="25"/>
          <w:szCs w:val="25"/>
        </w:rPr>
        <w:t xml:space="preserve">10.3. </w:t>
      </w:r>
      <w:r>
        <w:rPr>
          <w:sz w:val="25"/>
          <w:szCs w:val="25"/>
        </w:rPr>
        <w:t>Esgotados todos os prazos recursais, a Administração no prazo de até cinco (05) dias úteis convocará a Licitante vencedora para assinar o Contrato, sob pena de decair do direito à contratação.</w:t>
      </w:r>
    </w:p>
    <w:p>
      <w:pPr>
        <w:pStyle w:val="ListParagraph"/>
        <w:widowControl w:val="false"/>
        <w:ind w:left="0" w:right="140"/>
        <w:rPr>
          <w:sz w:val="25"/>
          <w:szCs w:val="25"/>
        </w:rPr>
      </w:pPr>
      <w:r>
        <w:rPr>
          <w:b/>
          <w:sz w:val="25"/>
          <w:szCs w:val="25"/>
        </w:rPr>
        <w:t xml:space="preserve">10.4. </w:t>
      </w:r>
      <w:r>
        <w:rPr>
          <w:sz w:val="25"/>
          <w:szCs w:val="25"/>
        </w:rPr>
        <w:t>O prazo de que trata o item anterior, poderá ser prorrogado uma vez, pelo mesmo período, desde que, seja feita de forma motivada e durante o transcurso do prazo constante do item</w:t>
      </w:r>
      <w:r>
        <w:rPr>
          <w:spacing w:val="-9"/>
          <w:sz w:val="25"/>
          <w:szCs w:val="25"/>
        </w:rPr>
        <w:t xml:space="preserve"> </w:t>
      </w:r>
      <w:r>
        <w:rPr>
          <w:sz w:val="25"/>
          <w:szCs w:val="25"/>
        </w:rPr>
        <w:t>anterior;</w:t>
      </w:r>
    </w:p>
    <w:p>
      <w:pPr>
        <w:pStyle w:val="ListParagraph"/>
        <w:widowControl w:val="false"/>
        <w:ind w:left="0" w:right="140"/>
        <w:rPr>
          <w:sz w:val="25"/>
          <w:szCs w:val="25"/>
        </w:rPr>
      </w:pPr>
      <w:r>
        <w:rPr>
          <w:b/>
          <w:sz w:val="25"/>
          <w:szCs w:val="25"/>
        </w:rPr>
        <w:t xml:space="preserve">10.5. </w:t>
      </w:r>
      <w:r>
        <w:rPr>
          <w:sz w:val="25"/>
          <w:szCs w:val="25"/>
        </w:rPr>
        <w:t>Se, dentro do prazo, o convocado não assinar o contrato, a Administração convocará os Licitantes remanescentes, na ordem de classificação, em igual prazo e nas mesmas condições propostas pelo primeiro classificado, inclusive quanto aos preços atualizados pelo critério previsto neste Edital, ou então, revogará a Licitação, sem prejuízo da pena de multa, e da aplicação das demais sanções previstas na Lei nº 14.133/2021.</w:t>
      </w:r>
    </w:p>
    <w:p>
      <w:pPr>
        <w:pStyle w:val="Normal"/>
        <w:ind w:right="140"/>
        <w:jc w:val="both"/>
        <w:rPr>
          <w:sz w:val="25"/>
          <w:szCs w:val="25"/>
        </w:rPr>
      </w:pPr>
      <w:r>
        <w:rPr>
          <w:rFonts w:eastAsia="Calibri"/>
          <w:b/>
          <w:bCs/>
          <w:color w:val="000000"/>
          <w:sz w:val="25"/>
          <w:szCs w:val="25"/>
          <w:lang w:eastAsia="en-US"/>
        </w:rPr>
        <w:t xml:space="preserve">10.6. </w:t>
      </w:r>
      <w:r>
        <w:rPr>
          <w:rFonts w:eastAsia="Calibri"/>
          <w:color w:val="000000"/>
          <w:sz w:val="25"/>
          <w:szCs w:val="25"/>
          <w:lang w:eastAsia="en-US"/>
        </w:rPr>
        <w:t>A adjudicação do objeto da licitação à licitante vencedora e a homologação do certame não implicarão direito à contratação.</w:t>
      </w:r>
    </w:p>
    <w:p>
      <w:pPr>
        <w:pStyle w:val="Normal"/>
        <w:ind w:right="140"/>
        <w:jc w:val="both"/>
        <w:rPr>
          <w:sz w:val="25"/>
          <w:szCs w:val="25"/>
        </w:rPr>
      </w:pPr>
      <w:r>
        <w:rPr>
          <w:rFonts w:eastAsia="Calibri"/>
          <w:b/>
          <w:bCs/>
          <w:color w:val="000000"/>
          <w:sz w:val="25"/>
          <w:szCs w:val="25"/>
          <w:lang w:eastAsia="en-US"/>
        </w:rPr>
        <w:t xml:space="preserve">10.7. </w:t>
      </w:r>
      <w:r>
        <w:rPr>
          <w:rFonts w:eastAsia="Calibri"/>
          <w:color w:val="000000"/>
          <w:sz w:val="25"/>
          <w:szCs w:val="25"/>
          <w:lang w:eastAsia="en-US"/>
        </w:rPr>
        <w:t>A adjudicatária obriga-se a manter, durante toda a execução do objeto, em compatibilidade com as obrigações assumidas, todas as condições de habilitação e qualificação exigidas nesta licitação, devendo comunicar ao Município, imediatamente, qualquer alteração que possa comprometer a manutenção da contratação.</w:t>
      </w:r>
    </w:p>
    <w:p>
      <w:pPr>
        <w:pStyle w:val="Normal"/>
        <w:ind w:right="140"/>
        <w:jc w:val="both"/>
        <w:rPr>
          <w:rFonts w:eastAsia="Calibri"/>
          <w:color w:val="000000"/>
          <w:sz w:val="25"/>
          <w:szCs w:val="25"/>
          <w:lang w:eastAsia="en-US"/>
        </w:rPr>
      </w:pPr>
      <w:r>
        <w:rPr>
          <w:rFonts w:eastAsia="Calibri"/>
          <w:color w:val="000000"/>
          <w:sz w:val="25"/>
          <w:szCs w:val="25"/>
          <w:lang w:eastAsia="en-US"/>
        </w:rPr>
      </w:r>
    </w:p>
    <w:p>
      <w:pPr>
        <w:pStyle w:val="Normal"/>
        <w:ind w:right="140"/>
        <w:jc w:val="both"/>
        <w:rPr>
          <w:sz w:val="25"/>
          <w:szCs w:val="25"/>
        </w:rPr>
      </w:pPr>
      <w:r>
        <w:rPr>
          <w:rFonts w:eastAsia="Calibri"/>
          <w:b/>
          <w:bCs/>
          <w:color w:val="000000"/>
          <w:sz w:val="25"/>
          <w:szCs w:val="25"/>
          <w:lang w:eastAsia="en-US"/>
        </w:rPr>
        <w:t>11. DAS INFRAÇÕES E SANÇÕES ADMINISTRATIVAS</w:t>
      </w:r>
    </w:p>
    <w:p>
      <w:pPr>
        <w:pStyle w:val="ListParagraph"/>
        <w:ind w:left="0" w:right="140"/>
        <w:rPr>
          <w:sz w:val="25"/>
          <w:szCs w:val="25"/>
        </w:rPr>
      </w:pPr>
      <w:r>
        <w:rPr>
          <w:rFonts w:eastAsia="Calibri"/>
          <w:b/>
          <w:color w:val="000000"/>
          <w:sz w:val="25"/>
          <w:szCs w:val="25"/>
          <w:lang w:eastAsia="en-US"/>
        </w:rPr>
        <w:t>11.1.1</w:t>
      </w:r>
      <w:r>
        <w:rPr>
          <w:rFonts w:eastAsia="Calibri"/>
          <w:color w:val="000000"/>
          <w:sz w:val="25"/>
          <w:szCs w:val="25"/>
          <w:lang w:eastAsia="en-US"/>
        </w:rPr>
        <w:t>. Comete infração administrativa, nos termos da lei, o licitante que, com dolo ou culpa:</w:t>
      </w:r>
    </w:p>
    <w:p>
      <w:pPr>
        <w:pStyle w:val="ListParagraph"/>
        <w:numPr>
          <w:ilvl w:val="0"/>
          <w:numId w:val="2"/>
        </w:numPr>
        <w:suppressAutoHyphens w:val="true"/>
        <w:ind w:hanging="0" w:left="0" w:right="140"/>
        <w:rPr>
          <w:sz w:val="25"/>
          <w:szCs w:val="25"/>
        </w:rPr>
      </w:pPr>
      <w:r>
        <w:rPr>
          <w:rFonts w:eastAsia="Calibri"/>
          <w:color w:val="000000"/>
          <w:sz w:val="25"/>
          <w:szCs w:val="25"/>
          <w:lang w:eastAsia="en-US"/>
        </w:rPr>
        <w:t xml:space="preserve">Deixar de entregar a documentação exigida para o certame ou não entregar qualquer documento que tenha sido solicitado pelo pregoeiro durante o certame. </w:t>
      </w:r>
    </w:p>
    <w:p>
      <w:pPr>
        <w:pStyle w:val="ListParagraph"/>
        <w:numPr>
          <w:ilvl w:val="2"/>
          <w:numId w:val="3"/>
        </w:numPr>
        <w:suppressAutoHyphens w:val="true"/>
        <w:ind w:hanging="0" w:left="0" w:right="140"/>
        <w:rPr>
          <w:sz w:val="25"/>
          <w:szCs w:val="25"/>
        </w:rPr>
      </w:pPr>
      <w:r>
        <w:rPr>
          <w:rFonts w:eastAsia="Calibri"/>
          <w:color w:val="000000"/>
          <w:sz w:val="25"/>
          <w:szCs w:val="25"/>
          <w:lang w:eastAsia="en-US"/>
        </w:rPr>
        <w:t>Salvo em decorrência de fato superveniente devidamente justificado, não mantiver a proposta em especial quando:</w:t>
      </w:r>
    </w:p>
    <w:p>
      <w:pPr>
        <w:pStyle w:val="Normal"/>
        <w:ind w:right="140"/>
        <w:jc w:val="both"/>
        <w:rPr>
          <w:sz w:val="25"/>
          <w:szCs w:val="25"/>
        </w:rPr>
      </w:pPr>
      <w:r>
        <w:rPr>
          <w:rFonts w:eastAsia="Calibri"/>
          <w:b/>
          <w:color w:val="000000"/>
          <w:sz w:val="25"/>
          <w:szCs w:val="25"/>
          <w:lang w:eastAsia="en-US"/>
        </w:rPr>
        <w:t>11.1.2.1</w:t>
      </w:r>
      <w:r>
        <w:rPr>
          <w:rFonts w:eastAsia="Calibri"/>
          <w:color w:val="000000"/>
          <w:sz w:val="25"/>
          <w:szCs w:val="25"/>
          <w:lang w:eastAsia="en-US"/>
        </w:rPr>
        <w:t>. não enviar a proposta adequada ao último lance ofertado ou após a negociação;</w:t>
      </w:r>
    </w:p>
    <w:p>
      <w:pPr>
        <w:pStyle w:val="Normal"/>
        <w:ind w:right="140"/>
        <w:jc w:val="both"/>
        <w:rPr>
          <w:sz w:val="25"/>
          <w:szCs w:val="25"/>
        </w:rPr>
      </w:pPr>
      <w:r>
        <w:rPr>
          <w:rFonts w:eastAsia="Calibri"/>
          <w:b/>
          <w:color w:val="000000"/>
          <w:sz w:val="25"/>
          <w:szCs w:val="25"/>
          <w:lang w:eastAsia="en-US"/>
        </w:rPr>
        <w:t>11.1.2.2</w:t>
      </w:r>
      <w:r>
        <w:rPr>
          <w:rFonts w:eastAsia="Calibri"/>
          <w:color w:val="000000"/>
          <w:sz w:val="25"/>
          <w:szCs w:val="25"/>
          <w:lang w:eastAsia="en-US"/>
        </w:rPr>
        <w:t>. recusar-se a enviar o detalhamento da proposta quando exigível;</w:t>
      </w:r>
    </w:p>
    <w:p>
      <w:pPr>
        <w:pStyle w:val="Normal"/>
        <w:ind w:right="140"/>
        <w:jc w:val="both"/>
        <w:rPr>
          <w:sz w:val="25"/>
          <w:szCs w:val="25"/>
        </w:rPr>
      </w:pPr>
      <w:r>
        <w:rPr>
          <w:rFonts w:eastAsia="Calibri"/>
          <w:b/>
          <w:color w:val="000000"/>
          <w:sz w:val="25"/>
          <w:szCs w:val="25"/>
          <w:lang w:eastAsia="en-US"/>
        </w:rPr>
        <w:t>11.1.2.3</w:t>
      </w:r>
      <w:r>
        <w:rPr>
          <w:rFonts w:eastAsia="Calibri"/>
          <w:color w:val="000000"/>
          <w:sz w:val="25"/>
          <w:szCs w:val="25"/>
          <w:lang w:eastAsia="en-US"/>
        </w:rPr>
        <w:t>. pedir para ser desclassificado quando encerrada a etapa competitiva;</w:t>
      </w:r>
    </w:p>
    <w:p>
      <w:pPr>
        <w:pStyle w:val="Normal"/>
        <w:ind w:right="140"/>
        <w:jc w:val="both"/>
        <w:rPr>
          <w:sz w:val="25"/>
          <w:szCs w:val="25"/>
        </w:rPr>
      </w:pPr>
      <w:r>
        <w:rPr>
          <w:rFonts w:eastAsia="Calibri"/>
          <w:b/>
          <w:color w:val="000000"/>
          <w:sz w:val="25"/>
          <w:szCs w:val="25"/>
          <w:lang w:eastAsia="en-US"/>
        </w:rPr>
        <w:t>11.1.2.4</w:t>
      </w:r>
      <w:r>
        <w:rPr>
          <w:rFonts w:eastAsia="Calibri"/>
          <w:color w:val="000000"/>
          <w:sz w:val="25"/>
          <w:szCs w:val="25"/>
          <w:lang w:eastAsia="en-US"/>
        </w:rPr>
        <w:t>. deixar de apresentar amostra, quando  exigido;</w:t>
      </w:r>
    </w:p>
    <w:p>
      <w:pPr>
        <w:pStyle w:val="Normal"/>
        <w:ind w:right="140"/>
        <w:jc w:val="both"/>
        <w:rPr>
          <w:sz w:val="25"/>
          <w:szCs w:val="25"/>
        </w:rPr>
      </w:pPr>
      <w:r>
        <w:rPr>
          <w:rFonts w:eastAsia="Calibri"/>
          <w:b/>
          <w:color w:val="000000"/>
          <w:sz w:val="25"/>
          <w:szCs w:val="25"/>
          <w:lang w:eastAsia="en-US"/>
        </w:rPr>
        <w:t>11.1.2.5</w:t>
      </w:r>
      <w:r>
        <w:rPr>
          <w:rFonts w:eastAsia="Calibri"/>
          <w:color w:val="000000"/>
          <w:sz w:val="25"/>
          <w:szCs w:val="25"/>
          <w:lang w:eastAsia="en-US"/>
        </w:rPr>
        <w:t>. apresentar proposta ou amostra em desacordo com as especificações do edital;</w:t>
      </w:r>
    </w:p>
    <w:p>
      <w:pPr>
        <w:pStyle w:val="Normal"/>
        <w:tabs>
          <w:tab w:val="clear" w:pos="708"/>
          <w:tab w:val="left" w:pos="567" w:leader="none"/>
        </w:tabs>
        <w:ind w:right="140"/>
        <w:jc w:val="both"/>
        <w:rPr>
          <w:sz w:val="25"/>
          <w:szCs w:val="25"/>
        </w:rPr>
      </w:pPr>
      <w:r>
        <w:rPr>
          <w:rFonts w:eastAsia="Calibri"/>
          <w:b/>
          <w:color w:val="000000"/>
          <w:sz w:val="25"/>
          <w:szCs w:val="25"/>
          <w:lang w:eastAsia="en-US"/>
        </w:rPr>
        <w:t xml:space="preserve">11.1.3. </w:t>
      </w:r>
      <w:r>
        <w:rPr>
          <w:rFonts w:eastAsia="Calibri"/>
          <w:color w:val="000000"/>
          <w:sz w:val="25"/>
          <w:szCs w:val="25"/>
          <w:lang w:eastAsia="en-US"/>
        </w:rPr>
        <w:t>não celebrar o contrato ou não entregar a documentação exigida para a contratação, quando convocado dentro do prazo de validade de sua proposta;</w:t>
      </w:r>
    </w:p>
    <w:p>
      <w:pPr>
        <w:pStyle w:val="Normal"/>
        <w:ind w:right="140"/>
        <w:jc w:val="both"/>
        <w:rPr>
          <w:sz w:val="25"/>
          <w:szCs w:val="25"/>
        </w:rPr>
      </w:pPr>
      <w:r>
        <w:rPr>
          <w:rFonts w:eastAsia="Calibri"/>
          <w:b/>
          <w:color w:val="000000"/>
          <w:sz w:val="25"/>
          <w:szCs w:val="25"/>
          <w:lang w:eastAsia="en-US"/>
        </w:rPr>
        <w:t>11.1.3.1</w:t>
      </w:r>
      <w:r>
        <w:rPr>
          <w:rFonts w:eastAsia="Calibri"/>
          <w:color w:val="000000"/>
          <w:sz w:val="25"/>
          <w:szCs w:val="25"/>
          <w:lang w:eastAsia="en-US"/>
        </w:rPr>
        <w:t>. recusar-se, sem justificativa, a assinar o contrato ou a ata de registro de preço, ou a aceitar ou retirar o Pedido (instrumento equivalente) no prazo estabelecido pela Administração;</w:t>
      </w:r>
    </w:p>
    <w:p>
      <w:pPr>
        <w:pStyle w:val="Normal"/>
        <w:ind w:right="140"/>
        <w:jc w:val="both"/>
        <w:rPr>
          <w:sz w:val="25"/>
          <w:szCs w:val="25"/>
        </w:rPr>
      </w:pPr>
      <w:r>
        <w:rPr>
          <w:rFonts w:eastAsia="Calibri"/>
          <w:b/>
          <w:color w:val="000000"/>
          <w:sz w:val="25"/>
          <w:szCs w:val="25"/>
          <w:lang w:eastAsia="en-US"/>
        </w:rPr>
        <w:t>11.1.4.</w:t>
      </w:r>
      <w:r>
        <w:rPr>
          <w:rFonts w:eastAsia="Calibri"/>
          <w:color w:val="000000"/>
          <w:sz w:val="25"/>
          <w:szCs w:val="25"/>
          <w:lang w:eastAsia="en-US"/>
        </w:rPr>
        <w:t xml:space="preserve"> apresentar declaração ou documentação falsa exigida para o certame ou prestar declaração falsa durante a licitação;</w:t>
      </w:r>
    </w:p>
    <w:p>
      <w:pPr>
        <w:pStyle w:val="Normal"/>
        <w:ind w:right="140"/>
        <w:jc w:val="both"/>
        <w:rPr>
          <w:sz w:val="25"/>
          <w:szCs w:val="25"/>
        </w:rPr>
      </w:pPr>
      <w:r>
        <w:rPr>
          <w:rFonts w:eastAsia="Calibri"/>
          <w:b/>
          <w:color w:val="000000"/>
          <w:sz w:val="25"/>
          <w:szCs w:val="25"/>
          <w:lang w:eastAsia="en-US"/>
        </w:rPr>
        <w:t>11.1.5.</w:t>
      </w:r>
      <w:r>
        <w:rPr>
          <w:rFonts w:eastAsia="Calibri"/>
          <w:color w:val="000000"/>
          <w:sz w:val="25"/>
          <w:szCs w:val="25"/>
          <w:lang w:eastAsia="en-US"/>
        </w:rPr>
        <w:t xml:space="preserve"> fraudar a licitação;</w:t>
      </w:r>
    </w:p>
    <w:p>
      <w:pPr>
        <w:pStyle w:val="Normal"/>
        <w:ind w:right="140"/>
        <w:jc w:val="both"/>
        <w:rPr>
          <w:sz w:val="25"/>
          <w:szCs w:val="25"/>
        </w:rPr>
      </w:pPr>
      <w:r>
        <w:rPr>
          <w:rFonts w:eastAsia="Calibri"/>
          <w:b/>
          <w:color w:val="000000"/>
          <w:sz w:val="25"/>
          <w:szCs w:val="25"/>
          <w:lang w:eastAsia="en-US"/>
        </w:rPr>
        <w:t>11.1.6.</w:t>
      </w:r>
      <w:r>
        <w:rPr>
          <w:rFonts w:eastAsia="Calibri"/>
          <w:color w:val="000000"/>
          <w:sz w:val="25"/>
          <w:szCs w:val="25"/>
          <w:lang w:eastAsia="en-US"/>
        </w:rPr>
        <w:t xml:space="preserve"> comportar-se de modo inidôneo ou cometer fraude de qualquer natureza, em especial quando:</w:t>
      </w:r>
    </w:p>
    <w:p>
      <w:pPr>
        <w:pStyle w:val="Normal"/>
        <w:ind w:right="140"/>
        <w:jc w:val="both"/>
        <w:rPr>
          <w:sz w:val="25"/>
          <w:szCs w:val="25"/>
        </w:rPr>
      </w:pPr>
      <w:r>
        <w:rPr>
          <w:rFonts w:eastAsia="Calibri"/>
          <w:b/>
          <w:color w:val="000000"/>
          <w:sz w:val="25"/>
          <w:szCs w:val="25"/>
          <w:lang w:eastAsia="en-US"/>
        </w:rPr>
        <w:t>11.1.6.1.</w:t>
      </w:r>
      <w:r>
        <w:rPr>
          <w:rFonts w:eastAsia="Calibri"/>
          <w:color w:val="000000"/>
          <w:sz w:val="25"/>
          <w:szCs w:val="25"/>
          <w:lang w:eastAsia="en-US"/>
        </w:rPr>
        <w:t xml:space="preserve"> agir em conluio ou em desconformidade com a lei;</w:t>
      </w:r>
    </w:p>
    <w:p>
      <w:pPr>
        <w:pStyle w:val="Normal"/>
        <w:ind w:right="140"/>
        <w:jc w:val="both"/>
        <w:rPr>
          <w:sz w:val="25"/>
          <w:szCs w:val="25"/>
        </w:rPr>
      </w:pPr>
      <w:r>
        <w:rPr>
          <w:rFonts w:eastAsia="Calibri"/>
          <w:b/>
          <w:color w:val="000000"/>
          <w:sz w:val="25"/>
          <w:szCs w:val="25"/>
          <w:lang w:eastAsia="en-US"/>
        </w:rPr>
        <w:t xml:space="preserve">11.1.6.2. </w:t>
      </w:r>
      <w:r>
        <w:rPr>
          <w:rFonts w:eastAsia="Calibri"/>
          <w:color w:val="000000"/>
          <w:sz w:val="25"/>
          <w:szCs w:val="25"/>
          <w:lang w:eastAsia="en-US"/>
        </w:rPr>
        <w:t>induzir deliberadamente a erro no julgamento;</w:t>
      </w:r>
    </w:p>
    <w:p>
      <w:pPr>
        <w:pStyle w:val="Normal"/>
        <w:ind w:right="140"/>
        <w:jc w:val="both"/>
        <w:rPr>
          <w:sz w:val="25"/>
          <w:szCs w:val="25"/>
        </w:rPr>
      </w:pPr>
      <w:r>
        <w:rPr>
          <w:rFonts w:eastAsia="Calibri"/>
          <w:b/>
          <w:color w:val="000000"/>
          <w:sz w:val="25"/>
          <w:szCs w:val="25"/>
          <w:lang w:eastAsia="en-US"/>
        </w:rPr>
        <w:t>11.1.6.3.</w:t>
      </w:r>
      <w:r>
        <w:rPr>
          <w:rFonts w:eastAsia="Calibri"/>
          <w:color w:val="000000"/>
          <w:sz w:val="25"/>
          <w:szCs w:val="25"/>
          <w:lang w:eastAsia="en-US"/>
        </w:rPr>
        <w:t xml:space="preserve"> apresentar amostra falsificada ou deteriorada.</w:t>
      </w:r>
    </w:p>
    <w:p>
      <w:pPr>
        <w:pStyle w:val="Normal"/>
        <w:tabs>
          <w:tab w:val="clear" w:pos="708"/>
          <w:tab w:val="left" w:pos="567" w:leader="none"/>
        </w:tabs>
        <w:ind w:right="140"/>
        <w:jc w:val="both"/>
        <w:rPr>
          <w:sz w:val="25"/>
          <w:szCs w:val="25"/>
        </w:rPr>
      </w:pPr>
      <w:r>
        <w:rPr>
          <w:rFonts w:eastAsia="Calibri"/>
          <w:b/>
          <w:color w:val="000000"/>
          <w:sz w:val="25"/>
          <w:szCs w:val="25"/>
          <w:lang w:eastAsia="en-US"/>
        </w:rPr>
        <w:t>11.1.7.</w:t>
      </w:r>
      <w:r>
        <w:rPr>
          <w:rFonts w:eastAsia="Calibri"/>
          <w:color w:val="000000"/>
          <w:sz w:val="25"/>
          <w:szCs w:val="25"/>
          <w:lang w:eastAsia="en-US"/>
        </w:rPr>
        <w:t xml:space="preserve"> praticar atos ilícitos com vistas a frustrar os objetivos da licitação;</w:t>
      </w:r>
    </w:p>
    <w:p>
      <w:pPr>
        <w:pStyle w:val="Normal"/>
        <w:tabs>
          <w:tab w:val="clear" w:pos="708"/>
          <w:tab w:val="left" w:pos="567" w:leader="none"/>
        </w:tabs>
        <w:ind w:right="140"/>
        <w:jc w:val="both"/>
        <w:rPr>
          <w:sz w:val="25"/>
          <w:szCs w:val="25"/>
        </w:rPr>
      </w:pPr>
      <w:r>
        <w:rPr>
          <w:rFonts w:eastAsia="Calibri"/>
          <w:b/>
          <w:color w:val="000000"/>
          <w:sz w:val="25"/>
          <w:szCs w:val="25"/>
          <w:lang w:eastAsia="en-US"/>
        </w:rPr>
        <w:t>11.1.8.</w:t>
      </w:r>
      <w:r>
        <w:rPr>
          <w:rFonts w:eastAsia="Calibri"/>
          <w:color w:val="000000"/>
          <w:sz w:val="25"/>
          <w:szCs w:val="25"/>
          <w:lang w:eastAsia="en-US"/>
        </w:rPr>
        <w:t xml:space="preserve"> praticar ato lesivo previsto no art. 5º da Lei n.º 12.846, de 2013.</w:t>
      </w:r>
    </w:p>
    <w:p>
      <w:pPr>
        <w:pStyle w:val="Normal"/>
        <w:tabs>
          <w:tab w:val="clear" w:pos="708"/>
          <w:tab w:val="left" w:pos="567" w:leader="none"/>
        </w:tabs>
        <w:ind w:right="140"/>
        <w:jc w:val="both"/>
        <w:rPr>
          <w:sz w:val="25"/>
          <w:szCs w:val="25"/>
        </w:rPr>
      </w:pPr>
      <w:r>
        <w:rPr>
          <w:rFonts w:eastAsia="Calibri"/>
          <w:b/>
          <w:color w:val="000000"/>
          <w:sz w:val="25"/>
          <w:szCs w:val="25"/>
          <w:lang w:eastAsia="en-US"/>
        </w:rPr>
        <w:t>11.2.</w:t>
      </w:r>
      <w:r>
        <w:rPr>
          <w:rFonts w:eastAsia="Calibri"/>
          <w:color w:val="000000"/>
          <w:sz w:val="25"/>
          <w:szCs w:val="25"/>
          <w:lang w:eastAsia="en-US"/>
        </w:rPr>
        <w:tab/>
        <w:t>Com fulcro na Lei nº 14.133, de 2021, a Administração poderá, garantida a prévia defesa, aplicar aos licitantes e/ou adjudicatários as seguintes sanções, sem prejuízo das responsabilidades civil e criminal:</w:t>
      </w:r>
    </w:p>
    <w:p>
      <w:pPr>
        <w:pStyle w:val="Normal"/>
        <w:tabs>
          <w:tab w:val="clear" w:pos="708"/>
          <w:tab w:val="left" w:pos="567" w:leader="none"/>
        </w:tabs>
        <w:ind w:right="140"/>
        <w:jc w:val="both"/>
        <w:rPr>
          <w:sz w:val="25"/>
          <w:szCs w:val="25"/>
        </w:rPr>
      </w:pPr>
      <w:r>
        <w:rPr>
          <w:rFonts w:eastAsia="Calibri"/>
          <w:b/>
          <w:color w:val="000000"/>
          <w:sz w:val="25"/>
          <w:szCs w:val="25"/>
          <w:lang w:eastAsia="en-US"/>
        </w:rPr>
        <w:t>11.2.1.</w:t>
      </w:r>
      <w:r>
        <w:rPr>
          <w:rFonts w:eastAsia="Calibri"/>
          <w:color w:val="000000"/>
          <w:sz w:val="25"/>
          <w:szCs w:val="25"/>
          <w:lang w:eastAsia="en-US"/>
        </w:rPr>
        <w:t xml:space="preserve"> advertência;</w:t>
      </w:r>
    </w:p>
    <w:p>
      <w:pPr>
        <w:pStyle w:val="Normal"/>
        <w:tabs>
          <w:tab w:val="clear" w:pos="708"/>
          <w:tab w:val="left" w:pos="567" w:leader="none"/>
        </w:tabs>
        <w:ind w:right="140"/>
        <w:jc w:val="both"/>
        <w:rPr>
          <w:sz w:val="25"/>
          <w:szCs w:val="25"/>
        </w:rPr>
      </w:pPr>
      <w:r>
        <w:rPr>
          <w:rFonts w:eastAsia="Calibri"/>
          <w:b/>
          <w:color w:val="000000"/>
          <w:sz w:val="25"/>
          <w:szCs w:val="25"/>
          <w:lang w:eastAsia="en-US"/>
        </w:rPr>
        <w:t>11.2.2.</w:t>
      </w:r>
      <w:r>
        <w:rPr>
          <w:rFonts w:eastAsia="Calibri"/>
          <w:color w:val="000000"/>
          <w:sz w:val="25"/>
          <w:szCs w:val="25"/>
          <w:lang w:eastAsia="en-US"/>
        </w:rPr>
        <w:t xml:space="preserve"> multa;</w:t>
      </w:r>
    </w:p>
    <w:p>
      <w:pPr>
        <w:pStyle w:val="Normal"/>
        <w:tabs>
          <w:tab w:val="clear" w:pos="708"/>
          <w:tab w:val="left" w:pos="567" w:leader="none"/>
        </w:tabs>
        <w:ind w:right="140"/>
        <w:jc w:val="both"/>
        <w:rPr>
          <w:sz w:val="25"/>
          <w:szCs w:val="25"/>
        </w:rPr>
      </w:pPr>
      <w:r>
        <w:rPr>
          <w:rFonts w:eastAsia="Calibri"/>
          <w:b/>
          <w:color w:val="000000"/>
          <w:sz w:val="25"/>
          <w:szCs w:val="25"/>
          <w:lang w:eastAsia="en-US"/>
        </w:rPr>
        <w:t>11.2.3.</w:t>
      </w:r>
      <w:r>
        <w:rPr>
          <w:rFonts w:eastAsia="Calibri"/>
          <w:color w:val="000000"/>
          <w:sz w:val="25"/>
          <w:szCs w:val="25"/>
          <w:lang w:eastAsia="en-US"/>
        </w:rPr>
        <w:t xml:space="preserve"> impedimento de licitar e contratar; e</w:t>
      </w:r>
    </w:p>
    <w:p>
      <w:pPr>
        <w:pStyle w:val="Normal"/>
        <w:tabs>
          <w:tab w:val="clear" w:pos="708"/>
          <w:tab w:val="left" w:pos="567" w:leader="none"/>
        </w:tabs>
        <w:ind w:right="140"/>
        <w:jc w:val="both"/>
        <w:rPr>
          <w:sz w:val="25"/>
          <w:szCs w:val="25"/>
        </w:rPr>
      </w:pPr>
      <w:r>
        <w:rPr>
          <w:rFonts w:eastAsia="Calibri"/>
          <w:b/>
          <w:color w:val="000000"/>
          <w:sz w:val="25"/>
          <w:szCs w:val="25"/>
          <w:lang w:eastAsia="en-US"/>
        </w:rPr>
        <w:t>11.2.4.</w:t>
      </w:r>
      <w:r>
        <w:rPr>
          <w:rFonts w:eastAsia="Calibri"/>
          <w:color w:val="000000"/>
          <w:sz w:val="25"/>
          <w:szCs w:val="25"/>
          <w:lang w:eastAsia="en-US"/>
        </w:rPr>
        <w:t xml:space="preserve"> declaração de inidoneidade para licitar ou contratar, enquanto perdurarem os motivos determinantes da punição ou até que seja promovida sua reabilitação perante a própria autoridade que aplicou a penalidade.</w:t>
      </w:r>
    </w:p>
    <w:p>
      <w:pPr>
        <w:pStyle w:val="Normal"/>
        <w:tabs>
          <w:tab w:val="clear" w:pos="708"/>
          <w:tab w:val="left" w:pos="567" w:leader="none"/>
        </w:tabs>
        <w:ind w:right="140"/>
        <w:jc w:val="both"/>
        <w:rPr>
          <w:sz w:val="25"/>
          <w:szCs w:val="25"/>
        </w:rPr>
      </w:pPr>
      <w:r>
        <w:rPr>
          <w:rFonts w:eastAsia="Calibri"/>
          <w:b/>
          <w:color w:val="000000"/>
          <w:sz w:val="25"/>
          <w:szCs w:val="25"/>
          <w:lang w:eastAsia="en-US"/>
        </w:rPr>
        <w:t>11.3.</w:t>
      </w:r>
      <w:r>
        <w:rPr>
          <w:rFonts w:eastAsia="Calibri"/>
          <w:color w:val="000000"/>
          <w:sz w:val="25"/>
          <w:szCs w:val="25"/>
          <w:lang w:eastAsia="en-US"/>
        </w:rPr>
        <w:tab/>
        <w:t>Na aplicação das sanções serão considerados:</w:t>
      </w:r>
    </w:p>
    <w:p>
      <w:pPr>
        <w:pStyle w:val="Normal"/>
        <w:tabs>
          <w:tab w:val="clear" w:pos="708"/>
          <w:tab w:val="left" w:pos="567" w:leader="none"/>
        </w:tabs>
        <w:ind w:right="140"/>
        <w:jc w:val="both"/>
        <w:rPr>
          <w:sz w:val="25"/>
          <w:szCs w:val="25"/>
        </w:rPr>
      </w:pPr>
      <w:r>
        <w:rPr>
          <w:rFonts w:eastAsia="Calibri"/>
          <w:b/>
          <w:color w:val="000000"/>
          <w:sz w:val="25"/>
          <w:szCs w:val="25"/>
          <w:lang w:eastAsia="en-US"/>
        </w:rPr>
        <w:t>11.3.1.</w:t>
      </w:r>
      <w:r>
        <w:rPr>
          <w:rFonts w:eastAsia="Calibri"/>
          <w:color w:val="000000"/>
          <w:sz w:val="25"/>
          <w:szCs w:val="25"/>
          <w:lang w:eastAsia="en-US"/>
        </w:rPr>
        <w:t xml:space="preserve"> a natureza e a gravidade da infração cometida.</w:t>
      </w:r>
    </w:p>
    <w:p>
      <w:pPr>
        <w:pStyle w:val="Normal"/>
        <w:tabs>
          <w:tab w:val="clear" w:pos="708"/>
          <w:tab w:val="left" w:pos="567" w:leader="none"/>
        </w:tabs>
        <w:ind w:right="140"/>
        <w:jc w:val="both"/>
        <w:rPr>
          <w:sz w:val="25"/>
          <w:szCs w:val="25"/>
        </w:rPr>
      </w:pPr>
      <w:r>
        <w:rPr>
          <w:rFonts w:eastAsia="Calibri"/>
          <w:b/>
          <w:color w:val="000000"/>
          <w:sz w:val="25"/>
          <w:szCs w:val="25"/>
          <w:lang w:eastAsia="en-US"/>
        </w:rPr>
        <w:t>11.3.2.</w:t>
      </w:r>
      <w:r>
        <w:rPr>
          <w:rFonts w:eastAsia="Calibri"/>
          <w:color w:val="000000"/>
          <w:sz w:val="25"/>
          <w:szCs w:val="25"/>
          <w:lang w:eastAsia="en-US"/>
        </w:rPr>
        <w:t xml:space="preserve"> as peculiaridades do caso concreto</w:t>
      </w:r>
    </w:p>
    <w:p>
      <w:pPr>
        <w:pStyle w:val="Normal"/>
        <w:tabs>
          <w:tab w:val="clear" w:pos="708"/>
          <w:tab w:val="left" w:pos="567" w:leader="none"/>
        </w:tabs>
        <w:ind w:right="140"/>
        <w:jc w:val="both"/>
        <w:rPr>
          <w:sz w:val="25"/>
          <w:szCs w:val="25"/>
        </w:rPr>
      </w:pPr>
      <w:r>
        <w:rPr>
          <w:rFonts w:eastAsia="Calibri"/>
          <w:b/>
          <w:color w:val="000000"/>
          <w:sz w:val="25"/>
          <w:szCs w:val="25"/>
          <w:lang w:eastAsia="en-US"/>
        </w:rPr>
        <w:t>11.3.3.</w:t>
      </w:r>
      <w:r>
        <w:rPr>
          <w:rFonts w:eastAsia="Calibri"/>
          <w:color w:val="000000"/>
          <w:sz w:val="25"/>
          <w:szCs w:val="25"/>
          <w:lang w:eastAsia="en-US"/>
        </w:rPr>
        <w:t xml:space="preserve"> as circunstâncias agravantes ou atenuantes</w:t>
      </w:r>
    </w:p>
    <w:p>
      <w:pPr>
        <w:pStyle w:val="Normal"/>
        <w:tabs>
          <w:tab w:val="clear" w:pos="708"/>
          <w:tab w:val="left" w:pos="567" w:leader="none"/>
        </w:tabs>
        <w:ind w:right="140"/>
        <w:jc w:val="both"/>
        <w:rPr>
          <w:sz w:val="25"/>
          <w:szCs w:val="25"/>
        </w:rPr>
      </w:pPr>
      <w:r>
        <w:rPr>
          <w:rFonts w:eastAsia="Calibri"/>
          <w:b/>
          <w:color w:val="000000"/>
          <w:sz w:val="25"/>
          <w:szCs w:val="25"/>
          <w:lang w:eastAsia="en-US"/>
        </w:rPr>
        <w:t>11.3.4.</w:t>
      </w:r>
      <w:r>
        <w:rPr>
          <w:rFonts w:eastAsia="Calibri"/>
          <w:color w:val="000000"/>
          <w:sz w:val="25"/>
          <w:szCs w:val="25"/>
          <w:lang w:eastAsia="en-US"/>
        </w:rPr>
        <w:t xml:space="preserve"> os danos que dela provierem para a Administração Pública</w:t>
      </w:r>
    </w:p>
    <w:p>
      <w:pPr>
        <w:pStyle w:val="Normal"/>
        <w:tabs>
          <w:tab w:val="clear" w:pos="708"/>
          <w:tab w:val="left" w:pos="567" w:leader="none"/>
        </w:tabs>
        <w:ind w:right="140"/>
        <w:jc w:val="both"/>
        <w:rPr>
          <w:sz w:val="25"/>
          <w:szCs w:val="25"/>
        </w:rPr>
      </w:pPr>
      <w:r>
        <w:rPr>
          <w:rFonts w:eastAsia="Calibri"/>
          <w:b/>
          <w:color w:val="000000"/>
          <w:sz w:val="25"/>
          <w:szCs w:val="25"/>
          <w:lang w:eastAsia="en-US"/>
        </w:rPr>
        <w:t>11.3.5.</w:t>
      </w:r>
      <w:r>
        <w:rPr>
          <w:rFonts w:eastAsia="Calibri"/>
          <w:color w:val="000000"/>
          <w:sz w:val="25"/>
          <w:szCs w:val="25"/>
          <w:lang w:eastAsia="en-US"/>
        </w:rPr>
        <w:t xml:space="preserve"> a implantação ou o aperfeiçoamento de programa de integridade, conforme normas e orientações dos órgãos de controle.</w:t>
      </w:r>
    </w:p>
    <w:p>
      <w:pPr>
        <w:pStyle w:val="Normal"/>
        <w:tabs>
          <w:tab w:val="clear" w:pos="708"/>
          <w:tab w:val="left" w:pos="567" w:leader="none"/>
        </w:tabs>
        <w:ind w:right="140"/>
        <w:jc w:val="both"/>
        <w:rPr>
          <w:sz w:val="25"/>
          <w:szCs w:val="25"/>
        </w:rPr>
      </w:pPr>
      <w:r>
        <w:rPr>
          <w:rFonts w:eastAsia="Calibri"/>
          <w:b/>
          <w:color w:val="000000"/>
          <w:sz w:val="25"/>
          <w:szCs w:val="25"/>
          <w:lang w:eastAsia="en-US"/>
        </w:rPr>
        <w:t>11.4.</w:t>
      </w:r>
      <w:r>
        <w:rPr>
          <w:rFonts w:eastAsia="Calibri"/>
          <w:color w:val="000000"/>
          <w:sz w:val="25"/>
          <w:szCs w:val="25"/>
          <w:lang w:eastAsia="en-US"/>
        </w:rPr>
        <w:tab/>
        <w:t xml:space="preserve">A multa será recolhida em percentual de 0,5% (meio por cento) a 30% (trinta por cento) incidente sobre o valor do contrato licitado, recolhida no prazo máximo </w:t>
      </w:r>
      <w:r>
        <w:rPr>
          <w:rFonts w:eastAsia="Calibri"/>
          <w:sz w:val="25"/>
          <w:szCs w:val="25"/>
          <w:lang w:eastAsia="en-US"/>
        </w:rPr>
        <w:t>de 05 (cinco) dias úteis</w:t>
      </w:r>
      <w:r>
        <w:rPr>
          <w:rFonts w:eastAsia="Calibri"/>
          <w:color w:val="000000"/>
          <w:sz w:val="25"/>
          <w:szCs w:val="25"/>
          <w:lang w:eastAsia="en-US"/>
        </w:rPr>
        <w:t>, a contar da comunicação oficial.</w:t>
      </w:r>
    </w:p>
    <w:p>
      <w:pPr>
        <w:pStyle w:val="Normal"/>
        <w:tabs>
          <w:tab w:val="clear" w:pos="708"/>
          <w:tab w:val="left" w:pos="567" w:leader="none"/>
        </w:tabs>
        <w:ind w:right="140"/>
        <w:jc w:val="both"/>
        <w:rPr>
          <w:sz w:val="25"/>
          <w:szCs w:val="25"/>
        </w:rPr>
      </w:pPr>
      <w:r>
        <w:rPr>
          <w:rFonts w:eastAsia="Calibri"/>
          <w:b/>
          <w:color w:val="000000"/>
          <w:sz w:val="25"/>
          <w:szCs w:val="25"/>
          <w:lang w:eastAsia="en-US"/>
        </w:rPr>
        <w:t>11.4.1</w:t>
      </w:r>
      <w:r>
        <w:rPr>
          <w:rFonts w:eastAsia="Calibri"/>
          <w:color w:val="000000"/>
          <w:sz w:val="25"/>
          <w:szCs w:val="25"/>
          <w:lang w:eastAsia="en-US"/>
        </w:rPr>
        <w:t>. Para as infrações previstas nos itens 11.1.1, 11.1.2 e 11.1.3, a multa será de 1% (um por cento) do valor do contrato licitado.</w:t>
      </w:r>
    </w:p>
    <w:p>
      <w:pPr>
        <w:pStyle w:val="Normal"/>
        <w:tabs>
          <w:tab w:val="clear" w:pos="708"/>
          <w:tab w:val="left" w:pos="567" w:leader="none"/>
        </w:tabs>
        <w:ind w:right="140"/>
        <w:jc w:val="both"/>
        <w:rPr>
          <w:sz w:val="25"/>
          <w:szCs w:val="25"/>
        </w:rPr>
      </w:pPr>
      <w:r>
        <w:rPr>
          <w:rFonts w:eastAsia="Calibri"/>
          <w:b/>
          <w:color w:val="000000"/>
          <w:sz w:val="25"/>
          <w:szCs w:val="25"/>
          <w:lang w:eastAsia="en-US"/>
        </w:rPr>
        <w:t>11.4.2</w:t>
      </w:r>
      <w:r>
        <w:rPr>
          <w:rFonts w:eastAsia="Calibri"/>
          <w:color w:val="000000"/>
          <w:sz w:val="25"/>
          <w:szCs w:val="25"/>
          <w:lang w:eastAsia="en-US"/>
        </w:rPr>
        <w:t>. Para as infrações previstas nos itens 11.1.4, 11.1.5, 11.1.6, 11.1.7 e 11.1.8, a multa será de 5% (cinco por cento) do valor do contrato licitado.</w:t>
      </w:r>
    </w:p>
    <w:p>
      <w:pPr>
        <w:pStyle w:val="Normal"/>
        <w:tabs>
          <w:tab w:val="clear" w:pos="708"/>
          <w:tab w:val="left" w:pos="567" w:leader="none"/>
        </w:tabs>
        <w:ind w:right="140"/>
        <w:jc w:val="both"/>
        <w:rPr>
          <w:sz w:val="25"/>
          <w:szCs w:val="25"/>
        </w:rPr>
      </w:pPr>
      <w:r>
        <w:rPr>
          <w:rFonts w:eastAsia="Calibri"/>
          <w:b/>
          <w:color w:val="000000"/>
          <w:sz w:val="25"/>
          <w:szCs w:val="25"/>
          <w:lang w:eastAsia="en-US"/>
        </w:rPr>
        <w:t>11.5.</w:t>
      </w:r>
      <w:r>
        <w:rPr>
          <w:rFonts w:eastAsia="Calibri"/>
          <w:color w:val="000000"/>
          <w:sz w:val="25"/>
          <w:szCs w:val="25"/>
          <w:lang w:eastAsia="en-US"/>
        </w:rPr>
        <w:tab/>
        <w:t>As sanções de advertência, impedimento de licitar e contratar e declaração de inidoneidade para licitar ou contratar poderão ser aplicadas, cumulativamente ou não, à penalidade de multa.</w:t>
      </w:r>
    </w:p>
    <w:p>
      <w:pPr>
        <w:pStyle w:val="Normal"/>
        <w:tabs>
          <w:tab w:val="clear" w:pos="708"/>
          <w:tab w:val="left" w:pos="567" w:leader="none"/>
        </w:tabs>
        <w:ind w:right="140"/>
        <w:jc w:val="both"/>
        <w:rPr>
          <w:sz w:val="25"/>
          <w:szCs w:val="25"/>
        </w:rPr>
      </w:pPr>
      <w:r>
        <w:rPr>
          <w:rFonts w:eastAsia="Calibri"/>
          <w:b/>
          <w:color w:val="000000"/>
          <w:sz w:val="25"/>
          <w:szCs w:val="25"/>
          <w:lang w:eastAsia="en-US"/>
        </w:rPr>
        <w:t>11.6.</w:t>
      </w:r>
      <w:r>
        <w:rPr>
          <w:rFonts w:eastAsia="Calibri"/>
          <w:color w:val="000000"/>
          <w:sz w:val="25"/>
          <w:szCs w:val="25"/>
          <w:lang w:eastAsia="en-US"/>
        </w:rPr>
        <w:tab/>
        <w:t>Na aplicação da sanção de multa será facultada a defesa do interessado no prazo de 15 (quinze) dias úteis, contado da data de sua intimação.</w:t>
      </w:r>
    </w:p>
    <w:p>
      <w:pPr>
        <w:pStyle w:val="Normal"/>
        <w:tabs>
          <w:tab w:val="clear" w:pos="708"/>
          <w:tab w:val="left" w:pos="567" w:leader="none"/>
        </w:tabs>
        <w:ind w:right="140"/>
        <w:jc w:val="both"/>
        <w:rPr>
          <w:sz w:val="25"/>
          <w:szCs w:val="25"/>
        </w:rPr>
      </w:pPr>
      <w:r>
        <w:rPr>
          <w:rFonts w:eastAsia="Calibri"/>
          <w:b/>
          <w:color w:val="000000"/>
          <w:sz w:val="25"/>
          <w:szCs w:val="25"/>
          <w:lang w:eastAsia="en-US"/>
        </w:rPr>
        <w:t>11.7.</w:t>
      </w:r>
      <w:r>
        <w:rPr>
          <w:rFonts w:eastAsia="Calibri"/>
          <w:color w:val="000000"/>
          <w:sz w:val="25"/>
          <w:szCs w:val="25"/>
          <w:lang w:eastAsia="en-US"/>
        </w:rPr>
        <w:tab/>
        <w:t>A sanção de impedimento de licitar e contratar poderá ser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ormal"/>
        <w:tabs>
          <w:tab w:val="clear" w:pos="708"/>
          <w:tab w:val="left" w:pos="567" w:leader="none"/>
        </w:tabs>
        <w:ind w:right="140"/>
        <w:jc w:val="both"/>
        <w:rPr>
          <w:sz w:val="25"/>
          <w:szCs w:val="25"/>
        </w:rPr>
      </w:pPr>
      <w:r>
        <w:rPr>
          <w:rFonts w:eastAsia="Calibri"/>
          <w:b/>
          <w:color w:val="000000"/>
          <w:sz w:val="25"/>
          <w:szCs w:val="25"/>
          <w:lang w:eastAsia="en-US"/>
        </w:rPr>
        <w:t>11.8.</w:t>
      </w:r>
      <w:r>
        <w:rPr>
          <w:rFonts w:eastAsia="Calibri"/>
          <w:color w:val="000000"/>
          <w:sz w:val="25"/>
          <w:szCs w:val="25"/>
          <w:lang w:eastAsia="en-US"/>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mínimo de 3 (três) anos e máximo de 6 (seis) anos.</w:t>
      </w:r>
    </w:p>
    <w:p>
      <w:pPr>
        <w:pStyle w:val="Normal"/>
        <w:tabs>
          <w:tab w:val="clear" w:pos="708"/>
          <w:tab w:val="left" w:pos="567" w:leader="none"/>
        </w:tabs>
        <w:ind w:right="140"/>
        <w:jc w:val="both"/>
        <w:rPr>
          <w:sz w:val="25"/>
          <w:szCs w:val="25"/>
        </w:rPr>
      </w:pPr>
      <w:r>
        <w:rPr>
          <w:rFonts w:eastAsia="Calibri"/>
          <w:b/>
          <w:color w:val="000000"/>
          <w:sz w:val="25"/>
          <w:szCs w:val="25"/>
          <w:lang w:eastAsia="en-US"/>
        </w:rPr>
        <w:t>11.9.</w:t>
      </w:r>
      <w:r>
        <w:rPr>
          <w:rFonts w:eastAsia="Calibri"/>
          <w:color w:val="000000"/>
          <w:sz w:val="25"/>
          <w:szCs w:val="25"/>
          <w:lang w:eastAsia="en-US"/>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Caçapava do Sul-RS. </w:t>
      </w:r>
    </w:p>
    <w:p>
      <w:pPr>
        <w:pStyle w:val="Normal"/>
        <w:tabs>
          <w:tab w:val="clear" w:pos="708"/>
          <w:tab w:val="left" w:pos="567" w:leader="none"/>
        </w:tabs>
        <w:ind w:right="140"/>
        <w:jc w:val="both"/>
        <w:rPr>
          <w:sz w:val="25"/>
          <w:szCs w:val="25"/>
        </w:rPr>
      </w:pPr>
      <w:r>
        <w:rPr>
          <w:rFonts w:eastAsia="Calibri"/>
          <w:b/>
          <w:color w:val="000000"/>
          <w:sz w:val="25"/>
          <w:szCs w:val="25"/>
          <w:lang w:eastAsia="en-US"/>
        </w:rPr>
        <w:t>11.10.</w:t>
      </w:r>
      <w:r>
        <w:rPr>
          <w:rFonts w:eastAsia="Calibri"/>
          <w:color w:val="000000"/>
          <w:sz w:val="25"/>
          <w:szCs w:val="25"/>
          <w:lang w:eastAsia="en-US"/>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ormal"/>
        <w:tabs>
          <w:tab w:val="clear" w:pos="708"/>
          <w:tab w:val="left" w:pos="567" w:leader="none"/>
        </w:tabs>
        <w:ind w:right="140"/>
        <w:jc w:val="both"/>
        <w:rPr>
          <w:sz w:val="25"/>
          <w:szCs w:val="25"/>
        </w:rPr>
      </w:pPr>
      <w:r>
        <w:rPr>
          <w:rFonts w:eastAsia="Calibri"/>
          <w:b/>
          <w:color w:val="000000"/>
          <w:sz w:val="25"/>
          <w:szCs w:val="25"/>
          <w:lang w:eastAsia="en-US"/>
        </w:rPr>
        <w:t>11.11.</w:t>
      </w:r>
      <w:r>
        <w:rPr>
          <w:rFonts w:eastAsia="Calibri"/>
          <w:color w:val="000000"/>
          <w:sz w:val="25"/>
          <w:szCs w:val="25"/>
          <w:lang w:eastAsia="en-US"/>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ormal"/>
        <w:tabs>
          <w:tab w:val="clear" w:pos="708"/>
          <w:tab w:val="left" w:pos="567" w:leader="none"/>
        </w:tabs>
        <w:ind w:right="140"/>
        <w:jc w:val="both"/>
        <w:rPr>
          <w:sz w:val="25"/>
          <w:szCs w:val="25"/>
        </w:rPr>
      </w:pPr>
      <w:r>
        <w:rPr>
          <w:rFonts w:eastAsia="Calibri"/>
          <w:b/>
          <w:color w:val="000000"/>
          <w:sz w:val="25"/>
          <w:szCs w:val="25"/>
          <w:lang w:eastAsia="en-US"/>
        </w:rPr>
        <w:t>11.12.</w:t>
      </w:r>
      <w:r>
        <w:rPr>
          <w:rFonts w:eastAsia="Calibri"/>
          <w:color w:val="000000"/>
          <w:sz w:val="25"/>
          <w:szCs w:val="25"/>
          <w:lang w:eastAsia="en-US"/>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ormal"/>
        <w:tabs>
          <w:tab w:val="clear" w:pos="708"/>
          <w:tab w:val="left" w:pos="567" w:leader="none"/>
        </w:tabs>
        <w:ind w:right="140"/>
        <w:jc w:val="both"/>
        <w:rPr>
          <w:sz w:val="25"/>
          <w:szCs w:val="25"/>
        </w:rPr>
      </w:pPr>
      <w:r>
        <w:rPr>
          <w:rFonts w:eastAsia="Calibri"/>
          <w:b/>
          <w:color w:val="000000"/>
          <w:sz w:val="25"/>
          <w:szCs w:val="25"/>
          <w:lang w:eastAsia="en-US"/>
        </w:rPr>
        <w:t>11.13.</w:t>
      </w:r>
      <w:r>
        <w:rPr>
          <w:rFonts w:eastAsia="Calibri"/>
          <w:color w:val="000000"/>
          <w:sz w:val="25"/>
          <w:szCs w:val="25"/>
          <w:lang w:eastAsia="en-US"/>
        </w:rPr>
        <w:tab/>
        <w:t>O recurso e o pedido de reconsideração terão efeito suspensivo do ato ou da decisão recorrida até que sobrevenha decisão final da autoridade competente.</w:t>
      </w:r>
    </w:p>
    <w:p>
      <w:pPr>
        <w:pStyle w:val="Normal"/>
        <w:tabs>
          <w:tab w:val="clear" w:pos="708"/>
          <w:tab w:val="left" w:pos="567" w:leader="none"/>
        </w:tabs>
        <w:ind w:right="140"/>
        <w:jc w:val="both"/>
        <w:rPr>
          <w:sz w:val="25"/>
          <w:szCs w:val="25"/>
        </w:rPr>
      </w:pPr>
      <w:r>
        <w:rPr>
          <w:rFonts w:eastAsia="Calibri"/>
          <w:b/>
          <w:color w:val="000000"/>
          <w:sz w:val="25"/>
          <w:szCs w:val="25"/>
          <w:lang w:eastAsia="en-US"/>
        </w:rPr>
        <w:t>11.14.</w:t>
      </w:r>
      <w:r>
        <w:rPr>
          <w:rFonts w:eastAsia="Calibri"/>
          <w:color w:val="000000"/>
          <w:sz w:val="25"/>
          <w:szCs w:val="25"/>
          <w:lang w:eastAsia="en-US"/>
        </w:rPr>
        <w:tab/>
        <w:t>A aplicação das sanções previstas neste edital não exclui, em hipótese alguma, a obrigação de reparação integral dos danos causados.</w:t>
      </w:r>
    </w:p>
    <w:p>
      <w:pPr>
        <w:pStyle w:val="Normal"/>
        <w:tabs>
          <w:tab w:val="clear" w:pos="708"/>
          <w:tab w:val="left" w:pos="567" w:leader="none"/>
        </w:tabs>
        <w:ind w:right="140"/>
        <w:jc w:val="both"/>
        <w:rPr>
          <w:sz w:val="25"/>
          <w:szCs w:val="25"/>
        </w:rPr>
      </w:pPr>
      <w:r>
        <w:rPr>
          <w:sz w:val="25"/>
          <w:szCs w:val="25"/>
        </w:rPr>
      </w:r>
    </w:p>
    <w:p>
      <w:pPr>
        <w:pStyle w:val="Normal"/>
        <w:tabs>
          <w:tab w:val="clear" w:pos="708"/>
          <w:tab w:val="left" w:pos="567" w:leader="none"/>
        </w:tabs>
        <w:ind w:right="140"/>
        <w:jc w:val="both"/>
        <w:rPr>
          <w:sz w:val="25"/>
          <w:szCs w:val="25"/>
        </w:rPr>
      </w:pPr>
      <w:r>
        <w:rPr>
          <w:rFonts w:eastAsia="Calibri"/>
          <w:b/>
          <w:bCs/>
          <w:color w:val="000000"/>
          <w:sz w:val="25"/>
          <w:szCs w:val="25"/>
          <w:lang w:eastAsia="en-US"/>
        </w:rPr>
        <w:t>12. DA FORMA DE PAGAMENTO</w:t>
      </w:r>
    </w:p>
    <w:p>
      <w:pPr>
        <w:pStyle w:val="BodyText"/>
        <w:ind w:right="140"/>
        <w:rPr>
          <w:color w:val="000000"/>
        </w:rPr>
      </w:pPr>
      <w:r>
        <w:rPr>
          <w:b/>
          <w:bCs/>
          <w:color w:val="000000"/>
          <w:sz w:val="25"/>
          <w:szCs w:val="25"/>
        </w:rPr>
        <w:t>12.1.</w:t>
      </w:r>
      <w:r>
        <w:rPr>
          <w:color w:val="000000"/>
          <w:sz w:val="25"/>
          <w:szCs w:val="25"/>
        </w:rPr>
        <w:t xml:space="preserve"> O pagamento será efetuado em até 30 (trinta) dias contados da apresentação da Nota Fiscal.</w:t>
      </w:r>
    </w:p>
    <w:p>
      <w:pPr>
        <w:pStyle w:val="BodyText"/>
        <w:ind w:right="140"/>
        <w:rPr>
          <w:sz w:val="25"/>
          <w:szCs w:val="25"/>
        </w:rPr>
      </w:pPr>
      <w:r>
        <w:rPr>
          <w:b/>
          <w:color w:val="000000"/>
          <w:sz w:val="25"/>
          <w:szCs w:val="25"/>
        </w:rPr>
        <w:t>12.2.</w:t>
      </w:r>
      <w:r>
        <w:rPr>
          <w:color w:val="000000"/>
          <w:sz w:val="25"/>
          <w:szCs w:val="25"/>
        </w:rPr>
        <w:t xml:space="preserve"> Oc</w:t>
      </w:r>
      <w:r>
        <w:rPr>
          <w:sz w:val="25"/>
          <w:szCs w:val="25"/>
        </w:rPr>
        <w:t>orrendo atraso no pagamento por parte do Município, será calculado juro de 0,5% (meio por cento) ao mês sobre o valor da nota fiscal mais atualização do INPC – Índice Nacional de Preços ao Consumidor, ou outro índice que vier a substituí-lo.</w:t>
      </w:r>
    </w:p>
    <w:p>
      <w:pPr>
        <w:pStyle w:val="Normal"/>
        <w:ind w:right="140"/>
        <w:jc w:val="both"/>
        <w:rPr>
          <w:sz w:val="25"/>
          <w:szCs w:val="25"/>
        </w:rPr>
      </w:pPr>
      <w:r>
        <w:rPr>
          <w:b/>
          <w:bCs/>
          <w:sz w:val="25"/>
          <w:szCs w:val="25"/>
        </w:rPr>
        <w:t>12.3.</w:t>
      </w:r>
      <w:r>
        <w:rPr>
          <w:sz w:val="25"/>
          <w:szCs w:val="25"/>
        </w:rPr>
        <w:t xml:space="preserve"> 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Prefeitura;</w:t>
      </w:r>
    </w:p>
    <w:p>
      <w:pPr>
        <w:pStyle w:val="Normal"/>
        <w:ind w:right="140"/>
        <w:jc w:val="both"/>
        <w:rPr>
          <w:sz w:val="25"/>
          <w:szCs w:val="25"/>
        </w:rPr>
      </w:pPr>
      <w:r>
        <w:rPr>
          <w:b/>
          <w:sz w:val="25"/>
          <w:szCs w:val="25"/>
        </w:rPr>
        <w:t>12.4.</w:t>
      </w:r>
      <w:r>
        <w:rPr>
          <w:sz w:val="25"/>
          <w:szCs w:val="25"/>
        </w:rPr>
        <w:t xml:space="preserve"> A Nota Fiscal ou Fatura deverá ser obrigatoriamente acompanhada da comprovação da regularidade fiscal, mediante consulta aos sítios eletrônicos oficiais ou da documentação mencionada no art. 68 da Lei nº 14.133/2021.</w:t>
      </w:r>
    </w:p>
    <w:p>
      <w:pPr>
        <w:pStyle w:val="Normal"/>
        <w:ind w:right="140"/>
        <w:jc w:val="both"/>
        <w:rPr>
          <w:sz w:val="25"/>
          <w:szCs w:val="25"/>
        </w:rPr>
      </w:pPr>
      <w:r>
        <w:rPr>
          <w:b/>
          <w:sz w:val="25"/>
          <w:szCs w:val="25"/>
        </w:rPr>
        <w:t xml:space="preserve">12.6. </w:t>
      </w:r>
      <w:r>
        <w:rPr>
          <w:bCs/>
          <w:sz w:val="25"/>
          <w:szCs w:val="25"/>
        </w:rPr>
        <w:t>Para as despesas decorrentes da presente Licitação serão utilizados recursos da dotação orçamentária correspondente.</w:t>
      </w:r>
    </w:p>
    <w:p>
      <w:pPr>
        <w:pStyle w:val="Normal"/>
        <w:ind w:right="140"/>
        <w:jc w:val="both"/>
        <w:rPr>
          <w:sz w:val="25"/>
          <w:szCs w:val="25"/>
        </w:rPr>
      </w:pPr>
      <w:r>
        <w:rPr>
          <w:b/>
          <w:sz w:val="25"/>
          <w:szCs w:val="25"/>
        </w:rPr>
        <w:t xml:space="preserve">12.7. </w:t>
      </w:r>
      <w:r>
        <w:rPr>
          <w:bCs/>
          <w:sz w:val="25"/>
          <w:szCs w:val="25"/>
        </w:rPr>
        <w:t>Quando da realização dos pagamentos serão processadas as retenções de tributos, conforme disposto na Instrução Normativa RFB nº 1234/2012, exceto quando a Empresa for optante do simples nacional.</w:t>
      </w:r>
    </w:p>
    <w:p>
      <w:pPr>
        <w:pStyle w:val="Normal"/>
        <w:ind w:right="140"/>
        <w:jc w:val="both"/>
        <w:rPr>
          <w:sz w:val="25"/>
          <w:szCs w:val="25"/>
        </w:rPr>
      </w:pPr>
      <w:r>
        <w:rPr>
          <w:sz w:val="25"/>
          <w:szCs w:val="25"/>
        </w:rPr>
      </w:r>
    </w:p>
    <w:p>
      <w:pPr>
        <w:pStyle w:val="Normal"/>
        <w:ind w:right="140"/>
        <w:jc w:val="both"/>
        <w:rPr>
          <w:sz w:val="25"/>
          <w:szCs w:val="25"/>
        </w:rPr>
      </w:pPr>
      <w:r>
        <w:rPr>
          <w:b/>
          <w:bCs/>
          <w:sz w:val="25"/>
          <w:szCs w:val="25"/>
        </w:rPr>
        <w:t xml:space="preserve">13. </w:t>
      </w:r>
      <w:r>
        <w:rPr>
          <w:b/>
          <w:sz w:val="25"/>
          <w:szCs w:val="25"/>
        </w:rPr>
        <w:t>DA PROTEÇÃO DE DADOS</w:t>
      </w:r>
    </w:p>
    <w:p>
      <w:pPr>
        <w:pStyle w:val="Normal"/>
        <w:ind w:right="140"/>
        <w:jc w:val="both"/>
        <w:rPr>
          <w:sz w:val="25"/>
          <w:szCs w:val="25"/>
        </w:rPr>
      </w:pPr>
      <w:r>
        <w:rPr>
          <w:b/>
          <w:color w:val="000000"/>
          <w:sz w:val="25"/>
          <w:szCs w:val="25"/>
        </w:rPr>
        <w:t>13.1.</w:t>
      </w:r>
      <w:r>
        <w:rPr>
          <w:color w:val="000000"/>
          <w:sz w:val="25"/>
          <w:szCs w:val="25"/>
        </w:rPr>
        <w:t xml:space="preserve"> As partes permanecem responsáveis pela gestão de seus bancos de dados, sendo CONTROLADORAS dos dados dos titulares cadastrados em suas respectivas bases cadastrais, inclusive para fins de compartilhamento de dados entre os partícipes do presente instrumento.</w:t>
      </w:r>
    </w:p>
    <w:p>
      <w:pPr>
        <w:pStyle w:val="Normal"/>
        <w:ind w:right="140"/>
        <w:jc w:val="both"/>
        <w:rPr>
          <w:sz w:val="25"/>
          <w:szCs w:val="25"/>
        </w:rPr>
      </w:pPr>
      <w:r>
        <w:rPr>
          <w:b/>
          <w:color w:val="000000"/>
          <w:sz w:val="25"/>
          <w:szCs w:val="25"/>
        </w:rPr>
        <w:t>13.1.1.</w:t>
      </w:r>
      <w:r>
        <w:rPr>
          <w:color w:val="000000"/>
          <w:sz w:val="25"/>
          <w:szCs w:val="25"/>
        </w:rPr>
        <w:t xml:space="preserve"> Cabe a cada parte deste instrumento realizar a correção, exclusão e/ou bloqueio de dados pessoais em sua base cadastral, que porventura sejam solicitados por seus clientes, titulares de dados;</w:t>
      </w:r>
    </w:p>
    <w:p>
      <w:pPr>
        <w:pStyle w:val="Normal"/>
        <w:ind w:right="140"/>
        <w:jc w:val="both"/>
        <w:rPr>
          <w:sz w:val="25"/>
          <w:szCs w:val="25"/>
        </w:rPr>
      </w:pPr>
      <w:r>
        <w:rPr>
          <w:b/>
          <w:color w:val="000000"/>
          <w:sz w:val="25"/>
          <w:szCs w:val="25"/>
        </w:rPr>
        <w:t>13.1.2.</w:t>
      </w:r>
      <w:r>
        <w:rPr>
          <w:color w:val="000000"/>
          <w:sz w:val="25"/>
          <w:szCs w:val="25"/>
        </w:rPr>
        <w:t xml:space="preserve"> As partes, incluindo todos os seus colaboradores, comprometem-se a tratar todos os Dados Pessoais como confidenciais, exceto se já eram de conhecimento público, ainda que este Convênio/Contrato venha a ser resolvido e independentemente dos motivos que derem causa ao seu término ou resolução;</w:t>
      </w:r>
    </w:p>
    <w:p>
      <w:pPr>
        <w:pStyle w:val="Normal"/>
        <w:ind w:right="140"/>
        <w:jc w:val="both"/>
        <w:rPr>
          <w:sz w:val="25"/>
          <w:szCs w:val="25"/>
        </w:rPr>
      </w:pPr>
      <w:r>
        <w:rPr>
          <w:b/>
          <w:color w:val="000000"/>
          <w:sz w:val="25"/>
          <w:szCs w:val="25"/>
        </w:rPr>
        <w:t>13.1.3.</w:t>
      </w:r>
      <w:r>
        <w:rPr>
          <w:color w:val="000000"/>
          <w:sz w:val="25"/>
          <w:szCs w:val="25"/>
        </w:rPr>
        <w:t xml:space="preserve"> As partes comprometem-se a adotar medidas, ferramentas e tecnologias necessárias para garantir a segurança dos dados e cumprir com suas obrigações, sempre considerando o estado da técnica disponível e o nível de segurança necessário;</w:t>
      </w:r>
    </w:p>
    <w:p>
      <w:pPr>
        <w:pStyle w:val="Normal"/>
        <w:ind w:right="140"/>
        <w:jc w:val="both"/>
        <w:rPr>
          <w:sz w:val="25"/>
          <w:szCs w:val="25"/>
        </w:rPr>
      </w:pPr>
      <w:r>
        <w:rPr>
          <w:b/>
          <w:color w:val="000000"/>
          <w:sz w:val="25"/>
          <w:szCs w:val="25"/>
        </w:rPr>
        <w:t>13.1.4.</w:t>
      </w:r>
      <w:r>
        <w:rPr>
          <w:color w:val="000000"/>
          <w:sz w:val="25"/>
          <w:szCs w:val="25"/>
        </w:rPr>
        <w:t xml:space="preserve"> As partes deverão manter registro das operações de tratamento de Dados Pessoais que realizar, bem como implementar medidas técnicas e organizacionais necessárias para proteger os dados contra a destruição, acidental ou ilícita, a perda, a alteração, a comunicação ou difusão ou o acesso não autorizado, além de garantir que o ambiente (seja ele físico ou lógico) utilizado por ela para o tratamento de Dados Pessoais sejam estruturados de forma a atender os requisitos de segurança, aos padrões de boas práticas e de governança e aos princípios gerais previstos em Lei e às demais normas regulamentares aplicáveis;</w:t>
      </w:r>
    </w:p>
    <w:p>
      <w:pPr>
        <w:pStyle w:val="Normal"/>
        <w:ind w:right="140"/>
        <w:jc w:val="both"/>
        <w:rPr>
          <w:sz w:val="25"/>
          <w:szCs w:val="25"/>
        </w:rPr>
      </w:pPr>
      <w:r>
        <w:rPr>
          <w:b/>
          <w:color w:val="000000"/>
          <w:sz w:val="25"/>
          <w:szCs w:val="25"/>
        </w:rPr>
        <w:t>13.1.5.</w:t>
      </w:r>
      <w:r>
        <w:rPr>
          <w:color w:val="000000"/>
          <w:sz w:val="25"/>
          <w:szCs w:val="25"/>
        </w:rPr>
        <w:t xml:space="preserve"> Havendo o compartilhamento de dados pessoais durante a execução do presente instrumento, estabelecem as partes que caberá a cada um o controle e fiscalização de sua base de dados em seus sistemas ou demais repositórios de dados, sendo responsabilidade exclusiva de cada parte o acompanhamento do ciclo de vida do dado e consequente eliminação, quando aplicável.</w:t>
      </w:r>
    </w:p>
    <w:p>
      <w:pPr>
        <w:pStyle w:val="Normal"/>
        <w:ind w:right="140"/>
        <w:jc w:val="both"/>
        <w:rPr>
          <w:sz w:val="25"/>
          <w:szCs w:val="25"/>
        </w:rPr>
      </w:pPr>
      <w:r>
        <w:rPr>
          <w:b/>
          <w:color w:val="000000"/>
          <w:sz w:val="25"/>
          <w:szCs w:val="25"/>
        </w:rPr>
        <w:t>13.2.</w:t>
      </w:r>
      <w:r>
        <w:rPr>
          <w:color w:val="000000"/>
          <w:sz w:val="25"/>
          <w:szCs w:val="25"/>
        </w:rPr>
        <w:t xml:space="preserve"> O tratamento dos dados pessoais ocorrerá para o cumprimento exclusivo das seguintes finalidades:</w:t>
      </w:r>
    </w:p>
    <w:p>
      <w:pPr>
        <w:pStyle w:val="Normal"/>
        <w:ind w:right="15"/>
        <w:jc w:val="both"/>
        <w:rPr>
          <w:sz w:val="25"/>
          <w:szCs w:val="25"/>
        </w:rPr>
      </w:pPr>
      <w:r>
        <w:rPr>
          <w:color w:val="000000"/>
          <w:sz w:val="25"/>
          <w:szCs w:val="25"/>
        </w:rPr>
        <w:t>a) execução de atividade, produto ou serviço vinculado ao contrato;</w:t>
      </w:r>
    </w:p>
    <w:p>
      <w:pPr>
        <w:pStyle w:val="Normal"/>
        <w:ind w:right="15"/>
        <w:jc w:val="both"/>
        <w:rPr>
          <w:sz w:val="25"/>
          <w:szCs w:val="25"/>
        </w:rPr>
      </w:pPr>
      <w:r>
        <w:rPr>
          <w:color w:val="000000"/>
          <w:sz w:val="25"/>
          <w:szCs w:val="25"/>
        </w:rPr>
        <w:t>b) para prestação de contas das obrigações dispostas no instrumento originário;</w:t>
      </w:r>
    </w:p>
    <w:p>
      <w:pPr>
        <w:pStyle w:val="Normal"/>
        <w:ind w:right="15"/>
        <w:jc w:val="both"/>
        <w:rPr>
          <w:sz w:val="25"/>
          <w:szCs w:val="25"/>
        </w:rPr>
      </w:pPr>
      <w:r>
        <w:rPr>
          <w:color w:val="000000"/>
          <w:sz w:val="25"/>
          <w:szCs w:val="25"/>
        </w:rPr>
        <w:t>c) enquanto necessário para atender prazos legais ou regulatórios perante órgãos de controle.</w:t>
      </w:r>
    </w:p>
    <w:p>
      <w:pPr>
        <w:pStyle w:val="Normal"/>
        <w:jc w:val="both"/>
        <w:rPr>
          <w:sz w:val="25"/>
          <w:szCs w:val="25"/>
        </w:rPr>
      </w:pPr>
      <w:r>
        <w:rPr>
          <w:b/>
          <w:color w:val="000000"/>
          <w:sz w:val="25"/>
          <w:szCs w:val="25"/>
        </w:rPr>
        <w:t>13.3.</w:t>
      </w:r>
      <w:r>
        <w:rPr>
          <w:color w:val="000000"/>
          <w:sz w:val="25"/>
          <w:szCs w:val="25"/>
        </w:rPr>
        <w:t xml:space="preserve"> Se qualquer legislação nacional ou internacional aplicável ao tratamento de Dados Pessoais no âmbito do Contrato vier a exigir adequação de processos e/ou instrumentos contratuais por forma ou meio determinado, as partes desde já acordam em celebrar termo aditivo escrito neste sentido.</w:t>
      </w:r>
    </w:p>
    <w:p>
      <w:pPr>
        <w:pStyle w:val="Normal"/>
        <w:jc w:val="both"/>
        <w:rPr>
          <w:sz w:val="25"/>
          <w:szCs w:val="25"/>
        </w:rPr>
      </w:pPr>
      <w:r>
        <w:rPr>
          <w:b/>
          <w:color w:val="000000"/>
          <w:sz w:val="25"/>
          <w:szCs w:val="25"/>
        </w:rPr>
        <w:t>13.4.</w:t>
      </w:r>
      <w:r>
        <w:rPr>
          <w:color w:val="000000"/>
          <w:sz w:val="25"/>
          <w:szCs w:val="25"/>
        </w:rPr>
        <w:t xml:space="preserve"> Fica assegurado, nos termos da lei, o direito de regresso em face da parte que deu causa, para reparação de eventuais danos causados em decorrência do descumprimento das obrigações aqui assumidas em relação a Proteção dos Dados.</w:t>
      </w:r>
    </w:p>
    <w:p>
      <w:pPr>
        <w:pStyle w:val="Normal"/>
        <w:ind w:right="140"/>
        <w:jc w:val="both"/>
        <w:rPr>
          <w:rFonts w:eastAsia="Calibri"/>
          <w:b/>
          <w:bCs/>
          <w:color w:val="000000"/>
          <w:sz w:val="25"/>
          <w:szCs w:val="25"/>
          <w:lang w:eastAsia="en-US"/>
        </w:rPr>
      </w:pPr>
      <w:r>
        <w:rPr>
          <w:rFonts w:eastAsia="Calibri"/>
          <w:b/>
          <w:bCs/>
          <w:color w:val="000000"/>
          <w:sz w:val="25"/>
          <w:szCs w:val="25"/>
          <w:lang w:eastAsia="en-US"/>
        </w:rPr>
      </w:r>
    </w:p>
    <w:p>
      <w:pPr>
        <w:pStyle w:val="Normal"/>
        <w:ind w:right="140"/>
        <w:jc w:val="both"/>
        <w:rPr>
          <w:sz w:val="25"/>
          <w:szCs w:val="25"/>
        </w:rPr>
      </w:pPr>
      <w:r>
        <w:rPr>
          <w:rFonts w:eastAsia="Calibri"/>
          <w:b/>
          <w:bCs/>
          <w:color w:val="000000"/>
          <w:sz w:val="25"/>
          <w:szCs w:val="25"/>
          <w:lang w:eastAsia="en-US"/>
        </w:rPr>
        <w:t>14. DAS DISPOSIÇÕES GERAIS:</w:t>
      </w:r>
    </w:p>
    <w:p>
      <w:pPr>
        <w:pStyle w:val="Normal"/>
        <w:ind w:right="140"/>
        <w:jc w:val="both"/>
        <w:rPr>
          <w:sz w:val="25"/>
          <w:szCs w:val="25"/>
        </w:rPr>
      </w:pPr>
      <w:r>
        <w:rPr>
          <w:rFonts w:eastAsia="Calibri"/>
          <w:b/>
          <w:bCs/>
          <w:color w:val="000000"/>
          <w:sz w:val="25"/>
          <w:szCs w:val="25"/>
          <w:lang w:eastAsia="en-US"/>
        </w:rPr>
        <w:t xml:space="preserve">14.1. </w:t>
      </w:r>
      <w:r>
        <w:rPr>
          <w:rFonts w:eastAsia="Calibri"/>
          <w:bCs/>
          <w:color w:val="000000"/>
          <w:sz w:val="25"/>
          <w:szCs w:val="25"/>
          <w:lang w:eastAsia="en-US"/>
        </w:rPr>
        <w:t>Será divulgada ata da sessão pública no sistema eletrônico.</w:t>
      </w:r>
    </w:p>
    <w:p>
      <w:pPr>
        <w:pStyle w:val="Normal"/>
        <w:ind w:right="140"/>
        <w:jc w:val="both"/>
        <w:rPr>
          <w:sz w:val="25"/>
          <w:szCs w:val="25"/>
        </w:rPr>
      </w:pPr>
      <w:r>
        <w:rPr>
          <w:rFonts w:eastAsia="Calibri"/>
          <w:b/>
          <w:bCs/>
          <w:color w:val="000000"/>
          <w:sz w:val="25"/>
          <w:szCs w:val="25"/>
          <w:lang w:eastAsia="en-US"/>
        </w:rPr>
        <w:t xml:space="preserve">14.2. </w:t>
      </w:r>
      <w:r>
        <w:rPr>
          <w:rFonts w:eastAsia="Calibri"/>
          <w:bCs/>
          <w:color w:val="000000"/>
          <w:sz w:val="25"/>
          <w:szCs w:val="25"/>
          <w:lang w:eastAsia="en-US"/>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ormal"/>
        <w:ind w:right="140"/>
        <w:jc w:val="both"/>
        <w:rPr>
          <w:sz w:val="25"/>
          <w:szCs w:val="25"/>
        </w:rPr>
      </w:pPr>
      <w:r>
        <w:rPr>
          <w:rFonts w:eastAsia="Calibri"/>
          <w:b/>
          <w:bCs/>
          <w:color w:val="000000"/>
          <w:sz w:val="25"/>
          <w:szCs w:val="25"/>
          <w:lang w:eastAsia="en-US"/>
        </w:rPr>
        <w:t xml:space="preserve">14.3. </w:t>
      </w:r>
      <w:r>
        <w:rPr>
          <w:rFonts w:eastAsia="Calibri"/>
          <w:bCs/>
          <w:color w:val="000000"/>
          <w:sz w:val="25"/>
          <w:szCs w:val="25"/>
          <w:lang w:eastAsia="en-US"/>
        </w:rPr>
        <w:t>Todas as referências de tempo no Edital, no aviso e durante a sessão pública observarão o horário de Brasília - DF.</w:t>
      </w:r>
    </w:p>
    <w:p>
      <w:pPr>
        <w:pStyle w:val="Normal"/>
        <w:ind w:right="140"/>
        <w:jc w:val="both"/>
        <w:rPr>
          <w:sz w:val="25"/>
          <w:szCs w:val="25"/>
        </w:rPr>
      </w:pPr>
      <w:r>
        <w:rPr>
          <w:rFonts w:eastAsia="Calibri"/>
          <w:b/>
          <w:bCs/>
          <w:color w:val="000000"/>
          <w:sz w:val="25"/>
          <w:szCs w:val="25"/>
          <w:lang w:eastAsia="en-US"/>
        </w:rPr>
        <w:t xml:space="preserve">14.4. </w:t>
      </w:r>
      <w:r>
        <w:rPr>
          <w:rFonts w:eastAsia="Calibri"/>
          <w:bCs/>
          <w:color w:val="000000"/>
          <w:sz w:val="25"/>
          <w:szCs w:val="25"/>
          <w:lang w:eastAsia="en-US"/>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ormal"/>
        <w:ind w:right="140"/>
        <w:jc w:val="both"/>
        <w:rPr>
          <w:sz w:val="25"/>
          <w:szCs w:val="25"/>
        </w:rPr>
      </w:pPr>
      <w:r>
        <w:rPr>
          <w:rFonts w:eastAsia="Calibri"/>
          <w:b/>
          <w:bCs/>
          <w:color w:val="000000"/>
          <w:sz w:val="25"/>
          <w:szCs w:val="25"/>
          <w:lang w:eastAsia="en-US"/>
        </w:rPr>
        <w:t xml:space="preserve">14.5. </w:t>
      </w:r>
      <w:r>
        <w:rPr>
          <w:rFonts w:eastAsia="Calibri"/>
          <w:bCs/>
          <w:color w:val="000000"/>
          <w:sz w:val="25"/>
          <w:szCs w:val="25"/>
          <w:lang w:eastAsia="en-US"/>
        </w:rPr>
        <w:t>Os licitantes assumem todos os custos de preparação e apresentação de suas propostas e a Administração não será, em nenhum caso, responsável por esses custos, independentemente da condução ou do resultado do processo licitatório.</w:t>
      </w:r>
    </w:p>
    <w:p>
      <w:pPr>
        <w:pStyle w:val="Normal"/>
        <w:ind w:right="140"/>
        <w:jc w:val="both"/>
        <w:rPr>
          <w:sz w:val="25"/>
          <w:szCs w:val="25"/>
        </w:rPr>
      </w:pPr>
      <w:r>
        <w:rPr>
          <w:rFonts w:eastAsia="Calibri"/>
          <w:b/>
          <w:bCs/>
          <w:color w:val="000000"/>
          <w:sz w:val="25"/>
          <w:szCs w:val="25"/>
          <w:lang w:eastAsia="en-US"/>
        </w:rPr>
        <w:t xml:space="preserve">14.6. </w:t>
      </w:r>
      <w:r>
        <w:rPr>
          <w:rFonts w:eastAsia="Calibri"/>
          <w:bCs/>
          <w:color w:val="000000"/>
          <w:sz w:val="25"/>
          <w:szCs w:val="25"/>
          <w:lang w:eastAsia="en-US"/>
        </w:rPr>
        <w:t>Na contagem dos prazos estabelecidos neste Edital e seus Anexos, excluir-se-á o dia do início e incluir-se-á o do vencimento. Só se iniciam e vencem os prazos em dias de expediente na Administração.</w:t>
      </w:r>
    </w:p>
    <w:p>
      <w:pPr>
        <w:pStyle w:val="Normal"/>
        <w:ind w:right="140"/>
        <w:jc w:val="both"/>
        <w:rPr>
          <w:sz w:val="25"/>
          <w:szCs w:val="25"/>
        </w:rPr>
      </w:pPr>
      <w:r>
        <w:rPr>
          <w:rFonts w:eastAsia="Calibri"/>
          <w:b/>
          <w:bCs/>
          <w:color w:val="000000"/>
          <w:sz w:val="25"/>
          <w:szCs w:val="25"/>
          <w:lang w:eastAsia="en-US"/>
        </w:rPr>
        <w:t xml:space="preserve">14.7. </w:t>
      </w:r>
      <w:r>
        <w:rPr>
          <w:rFonts w:eastAsia="Calibri"/>
          <w:bCs/>
          <w:color w:val="000000"/>
          <w:sz w:val="25"/>
          <w:szCs w:val="25"/>
          <w:lang w:eastAsia="en-US"/>
        </w:rPr>
        <w:t>O desatendimento de exigências formais não essenciais não importará o afastamento do licitante, desde que seja possível o aproveitamento do ato, observados os princípios da isonomia e do interesse público.</w:t>
      </w:r>
    </w:p>
    <w:p>
      <w:pPr>
        <w:pStyle w:val="Normal"/>
        <w:ind w:right="140"/>
        <w:jc w:val="both"/>
        <w:rPr>
          <w:sz w:val="25"/>
          <w:szCs w:val="25"/>
        </w:rPr>
      </w:pPr>
      <w:r>
        <w:rPr>
          <w:rFonts w:eastAsia="Calibri"/>
          <w:b/>
          <w:bCs/>
          <w:color w:val="000000"/>
          <w:sz w:val="25"/>
          <w:szCs w:val="25"/>
          <w:lang w:eastAsia="en-US"/>
        </w:rPr>
        <w:t xml:space="preserve">14.8. </w:t>
      </w:r>
      <w:r>
        <w:rPr>
          <w:rFonts w:eastAsia="Calibri"/>
          <w:bCs/>
          <w:color w:val="000000"/>
          <w:sz w:val="25"/>
          <w:szCs w:val="25"/>
          <w:lang w:eastAsia="en-US"/>
        </w:rPr>
        <w:t>Em caso de divergência entre disposições deste Edital e de seus anexos ou demais peças que compõem o processo, prevalecerá as deste Edital.</w:t>
      </w:r>
    </w:p>
    <w:p>
      <w:pPr>
        <w:pStyle w:val="Normal"/>
        <w:ind w:right="140"/>
        <w:jc w:val="both"/>
        <w:rPr>
          <w:sz w:val="25"/>
          <w:szCs w:val="25"/>
        </w:rPr>
      </w:pPr>
      <w:r>
        <w:rPr>
          <w:rFonts w:eastAsia="Calibri"/>
          <w:b/>
          <w:bCs/>
          <w:color w:val="000000"/>
          <w:sz w:val="25"/>
          <w:szCs w:val="25"/>
          <w:lang w:eastAsia="en-US"/>
        </w:rPr>
        <w:t>14.9.</w:t>
      </w:r>
      <w:r>
        <w:rPr>
          <w:rFonts w:eastAsia="Calibri"/>
          <w:color w:val="000000"/>
          <w:sz w:val="25"/>
          <w:szCs w:val="25"/>
          <w:lang w:eastAsia="en-US"/>
        </w:rPr>
        <w:t xml:space="preserve"> É facultado ao pregoeiro:</w:t>
      </w:r>
    </w:p>
    <w:p>
      <w:pPr>
        <w:pStyle w:val="Normal"/>
        <w:ind w:right="140"/>
        <w:jc w:val="both"/>
        <w:rPr>
          <w:sz w:val="25"/>
          <w:szCs w:val="25"/>
        </w:rPr>
      </w:pPr>
      <w:r>
        <w:rPr>
          <w:rFonts w:eastAsia="Calibri"/>
          <w:b/>
          <w:bCs/>
          <w:color w:val="000000"/>
          <w:sz w:val="25"/>
          <w:szCs w:val="25"/>
          <w:lang w:eastAsia="en-US"/>
        </w:rPr>
        <w:t xml:space="preserve">a) </w:t>
      </w:r>
      <w:r>
        <w:rPr>
          <w:rFonts w:eastAsia="Calibri"/>
          <w:color w:val="000000"/>
          <w:sz w:val="25"/>
          <w:szCs w:val="25"/>
          <w:lang w:eastAsia="en-US"/>
        </w:rPr>
        <w:t>a promoção de diligência destinada a esclarecer ou complementar a instrução do processo, em qualquer fase do Pregão, sendo vedada a inclusão posterior de documento que deveria constar originariamente da proposta.</w:t>
      </w:r>
    </w:p>
    <w:p>
      <w:pPr>
        <w:pStyle w:val="Normal"/>
        <w:ind w:right="140"/>
        <w:jc w:val="both"/>
        <w:rPr>
          <w:sz w:val="25"/>
          <w:szCs w:val="25"/>
        </w:rPr>
      </w:pPr>
      <w:r>
        <w:rPr>
          <w:rFonts w:eastAsia="Calibri"/>
          <w:b/>
          <w:bCs/>
          <w:color w:val="000000"/>
          <w:sz w:val="25"/>
          <w:szCs w:val="25"/>
          <w:lang w:eastAsia="en-US"/>
        </w:rPr>
        <w:t>b</w:t>
      </w:r>
      <w:r>
        <w:rPr>
          <w:rFonts w:eastAsia="Calibri"/>
          <w:b/>
          <w:color w:val="000000"/>
          <w:sz w:val="25"/>
          <w:szCs w:val="25"/>
          <w:lang w:eastAsia="en-US"/>
        </w:rPr>
        <w:t>)</w:t>
      </w:r>
      <w:r>
        <w:rPr>
          <w:rFonts w:eastAsia="Calibri"/>
          <w:color w:val="000000"/>
          <w:sz w:val="25"/>
          <w:szCs w:val="25"/>
          <w:lang w:eastAsia="en-US"/>
        </w:rPr>
        <w:t xml:space="preserve"> no julgamento da habilitação e das propostas,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
        <w:ind w:right="140"/>
        <w:jc w:val="both"/>
        <w:rPr>
          <w:sz w:val="25"/>
          <w:szCs w:val="25"/>
        </w:rPr>
      </w:pPr>
      <w:r>
        <w:rPr>
          <w:rFonts w:eastAsia="Calibri"/>
          <w:b/>
          <w:bCs/>
          <w:color w:val="000000"/>
          <w:sz w:val="25"/>
          <w:szCs w:val="25"/>
          <w:lang w:eastAsia="en-US"/>
        </w:rPr>
        <w:t>c</w:t>
      </w:r>
      <w:r>
        <w:rPr>
          <w:rFonts w:eastAsia="Calibri"/>
          <w:b/>
          <w:color w:val="000000"/>
          <w:sz w:val="25"/>
          <w:szCs w:val="25"/>
          <w:lang w:eastAsia="en-US"/>
        </w:rPr>
        <w:t>)</w:t>
      </w:r>
      <w:r>
        <w:rPr>
          <w:rFonts w:eastAsia="Calibri"/>
          <w:color w:val="000000"/>
          <w:sz w:val="25"/>
          <w:szCs w:val="25"/>
          <w:lang w:eastAsia="en-US"/>
        </w:rPr>
        <w:t xml:space="preserve"> convocar os licitantes para quaisquer esclarecimentos porventura necessários ao entendimento de suas propostas.</w:t>
      </w:r>
    </w:p>
    <w:p>
      <w:pPr>
        <w:pStyle w:val="Normal"/>
        <w:ind w:right="140"/>
        <w:jc w:val="both"/>
        <w:rPr>
          <w:sz w:val="25"/>
          <w:szCs w:val="25"/>
        </w:rPr>
      </w:pPr>
      <w:r>
        <w:rPr>
          <w:rFonts w:eastAsia="Calibri"/>
          <w:b/>
          <w:bCs/>
          <w:color w:val="000000"/>
          <w:sz w:val="25"/>
          <w:szCs w:val="25"/>
          <w:lang w:eastAsia="en-US"/>
        </w:rPr>
        <w:t xml:space="preserve">14.10. </w:t>
      </w:r>
      <w:r>
        <w:rPr>
          <w:rFonts w:eastAsia="Calibri"/>
          <w:color w:val="000000"/>
          <w:sz w:val="25"/>
          <w:szCs w:val="25"/>
          <w:lang w:eastAsia="en-US"/>
        </w:rPr>
        <w:t>As proponentes intimadas para quaisquer esclarecimentos adicionais deverão fazê-lo no prazo determinado pelo pregoeiro, sob pena de desclassificação/inabilitação.</w:t>
      </w:r>
    </w:p>
    <w:p>
      <w:pPr>
        <w:pStyle w:val="Normal"/>
        <w:ind w:right="140"/>
        <w:jc w:val="both"/>
        <w:rPr>
          <w:rFonts w:eastAsia="Calibri"/>
          <w:b/>
          <w:bCs/>
          <w:color w:val="000000"/>
          <w:sz w:val="25"/>
          <w:szCs w:val="25"/>
          <w:lang w:eastAsia="en-US"/>
        </w:rPr>
      </w:pPr>
      <w:r>
        <w:rPr>
          <w:rFonts w:eastAsia="Calibri"/>
          <w:b/>
          <w:bCs/>
          <w:color w:val="000000"/>
          <w:sz w:val="25"/>
          <w:szCs w:val="25"/>
          <w:lang w:eastAsia="en-US"/>
        </w:rPr>
        <w:t xml:space="preserve">14.11. </w:t>
      </w:r>
      <w:r>
        <w:rPr>
          <w:rFonts w:eastAsia="Calibri"/>
          <w:bCs/>
          <w:color w:val="000000"/>
          <w:sz w:val="25"/>
          <w:szCs w:val="25"/>
          <w:lang w:eastAsia="en-US"/>
        </w:rPr>
        <w:t xml:space="preserve">O Edital e seus anexos estão disponíveis, na íntegra, no Portal Nacional de Contratações Públicas (PNCP), no endereço eletrônico </w:t>
      </w:r>
      <w:hyperlink r:id="rId9">
        <w:r>
          <w:rPr>
            <w:rStyle w:val="Hyperlink"/>
            <w:rFonts w:eastAsia="Calibri"/>
            <w:sz w:val="25"/>
            <w:szCs w:val="25"/>
          </w:rPr>
          <w:t>https://www.pregaobanrisul.com.br</w:t>
        </w:r>
      </w:hyperlink>
      <w:r>
        <w:rPr>
          <w:rFonts w:eastAsia="Calibri"/>
          <w:bCs/>
          <w:color w:val="000000"/>
          <w:sz w:val="25"/>
          <w:szCs w:val="25"/>
          <w:lang w:eastAsia="en-US"/>
        </w:rPr>
        <w:t xml:space="preserve"> e  </w:t>
      </w:r>
      <w:hyperlink r:id="rId10">
        <w:r>
          <w:rPr>
            <w:rStyle w:val="Hyperlink"/>
            <w:rFonts w:eastAsia="Calibri"/>
            <w:sz w:val="25"/>
            <w:szCs w:val="25"/>
          </w:rPr>
          <w:t>https://www.cacapavadosul.rs.gov.br</w:t>
        </w:r>
      </w:hyperlink>
    </w:p>
    <w:p>
      <w:pPr>
        <w:pStyle w:val="Normal"/>
        <w:ind w:right="140"/>
        <w:jc w:val="both"/>
        <w:rPr>
          <w:sz w:val="25"/>
          <w:szCs w:val="25"/>
        </w:rPr>
      </w:pPr>
      <w:r>
        <w:rPr>
          <w:rFonts w:eastAsia="Calibri"/>
          <w:b/>
          <w:bCs/>
          <w:color w:val="000000"/>
          <w:sz w:val="25"/>
          <w:szCs w:val="25"/>
          <w:lang w:eastAsia="en-US"/>
        </w:rPr>
        <w:t>14.12.</w:t>
      </w:r>
      <w:r>
        <w:rPr>
          <w:rFonts w:eastAsia="Calibri"/>
          <w:color w:val="000000"/>
          <w:sz w:val="25"/>
          <w:szCs w:val="25"/>
          <w:lang w:eastAsia="en-US"/>
        </w:rPr>
        <w:t xml:space="preserve"> Durante todas as fases do procedimento licitatório, e, também, antes da assinatura do contrato, será verificada a existência de sanção que impeça a participação no certame ou a futura contratação, mediante consulta aos seguintes cadastros:</w:t>
      </w:r>
    </w:p>
    <w:p>
      <w:pPr>
        <w:pStyle w:val="Normal"/>
        <w:ind w:right="140"/>
        <w:jc w:val="both"/>
        <w:rPr>
          <w:sz w:val="25"/>
          <w:szCs w:val="25"/>
        </w:rPr>
      </w:pPr>
      <w:r>
        <w:rPr>
          <w:rFonts w:eastAsia="Calibri"/>
          <w:color w:val="000000"/>
          <w:sz w:val="25"/>
          <w:szCs w:val="25"/>
          <w:lang w:eastAsia="en-US"/>
        </w:rPr>
        <w:t xml:space="preserve">a) Cadastro Nacional de Empresas Inidôneas e Suspensas – </w:t>
      </w:r>
      <w:r>
        <w:rPr>
          <w:rFonts w:eastAsia="Calibri"/>
          <w:b/>
          <w:bCs/>
          <w:color w:val="000000"/>
          <w:sz w:val="25"/>
          <w:szCs w:val="25"/>
          <w:lang w:eastAsia="en-US"/>
        </w:rPr>
        <w:t>CEIS</w:t>
      </w:r>
      <w:r>
        <w:rPr>
          <w:rFonts w:eastAsia="Calibri"/>
          <w:color w:val="000000"/>
          <w:sz w:val="25"/>
          <w:szCs w:val="25"/>
          <w:lang w:eastAsia="en-US"/>
        </w:rPr>
        <w:t xml:space="preserve">, </w:t>
      </w:r>
      <w:r>
        <w:rPr>
          <w:rFonts w:eastAsia="Calibri"/>
          <w:bCs/>
          <w:color w:val="000000"/>
          <w:sz w:val="25"/>
          <w:szCs w:val="25"/>
          <w:lang w:eastAsia="en-US"/>
        </w:rPr>
        <w:t>mantido pela Controladoria-Geral da União (</w:t>
      </w:r>
      <w:hyperlink r:id="rId11">
        <w:r>
          <w:rPr>
            <w:rStyle w:val="Hyperlink"/>
            <w:rFonts w:eastAsia="Calibri"/>
            <w:bCs/>
            <w:sz w:val="25"/>
            <w:szCs w:val="25"/>
            <w:lang w:eastAsia="en-US"/>
          </w:rPr>
          <w:t>https://www.portaltransparencia.gov.br/sancoes/ceis</w:t>
        </w:r>
      </w:hyperlink>
      <w:r>
        <w:rPr>
          <w:rFonts w:eastAsia="Calibri"/>
          <w:bCs/>
          <w:color w:val="000000"/>
          <w:sz w:val="25"/>
          <w:szCs w:val="25"/>
          <w:lang w:eastAsia="en-US"/>
        </w:rPr>
        <w:t>); e</w:t>
      </w:r>
    </w:p>
    <w:p>
      <w:pPr>
        <w:pStyle w:val="Normal"/>
        <w:ind w:right="140"/>
        <w:jc w:val="both"/>
        <w:rPr>
          <w:sz w:val="25"/>
          <w:szCs w:val="25"/>
        </w:rPr>
      </w:pPr>
      <w:r>
        <w:rPr>
          <w:rFonts w:eastAsia="Calibri"/>
          <w:bCs/>
          <w:color w:val="000000"/>
          <w:sz w:val="25"/>
          <w:szCs w:val="25"/>
          <w:lang w:eastAsia="en-US"/>
        </w:rPr>
        <w:t xml:space="preserve">b) Cadastro Nacional de Empresas Punidas – </w:t>
      </w:r>
      <w:r>
        <w:rPr>
          <w:rFonts w:eastAsia="Calibri"/>
          <w:b/>
          <w:bCs/>
          <w:color w:val="000000"/>
          <w:sz w:val="25"/>
          <w:szCs w:val="25"/>
          <w:lang w:eastAsia="en-US"/>
        </w:rPr>
        <w:t>CNEP</w:t>
      </w:r>
      <w:r>
        <w:rPr>
          <w:rFonts w:eastAsia="Calibri"/>
          <w:bCs/>
          <w:color w:val="000000"/>
          <w:sz w:val="25"/>
          <w:szCs w:val="25"/>
          <w:lang w:eastAsia="en-US"/>
        </w:rPr>
        <w:t>, mantido pela Controladoria-Geral da União (</w:t>
      </w:r>
      <w:hyperlink r:id="rId12">
        <w:r>
          <w:rPr>
            <w:rStyle w:val="Hyperlink"/>
            <w:rFonts w:eastAsia="Calibri"/>
            <w:bCs/>
            <w:sz w:val="25"/>
            <w:szCs w:val="25"/>
            <w:lang w:eastAsia="en-US"/>
          </w:rPr>
          <w:t>https://www.portaltransparencia.gov.br/sancoes/cnep</w:t>
        </w:r>
      </w:hyperlink>
      <w:r>
        <w:rPr>
          <w:rFonts w:eastAsia="Calibri"/>
          <w:bCs/>
          <w:color w:val="000000"/>
          <w:sz w:val="25"/>
          <w:szCs w:val="25"/>
          <w:lang w:eastAsia="en-US"/>
        </w:rPr>
        <w:t>).</w:t>
      </w:r>
    </w:p>
    <w:p>
      <w:pPr>
        <w:pStyle w:val="Normal"/>
        <w:ind w:right="140"/>
        <w:jc w:val="both"/>
        <w:rPr>
          <w:sz w:val="25"/>
          <w:szCs w:val="25"/>
        </w:rPr>
      </w:pPr>
      <w:r>
        <w:rPr>
          <w:b/>
          <w:bCs/>
          <w:sz w:val="25"/>
          <w:szCs w:val="25"/>
        </w:rPr>
        <w:t xml:space="preserve">14.13. </w:t>
      </w:r>
      <w:r>
        <w:rPr>
          <w:rFonts w:eastAsia="Calibri"/>
          <w:bCs/>
          <w:color w:val="000000"/>
          <w:sz w:val="25"/>
          <w:szCs w:val="25"/>
          <w:lang w:eastAsia="en-US"/>
        </w:rPr>
        <w:t>Independentemente de declaração expressa, a simples participação no presente processo licitatório implica aceitação tácita das condições estipuladas neste Edital, decaindo o direito de impugnar os seus termos a licitante que, tendo o aceito sem quaisquer objeções, vier, após o julgamento que lhe for desfavorável, manifestar-se acerca de eventuais falhas e/ou irregularidades que o viciem.</w:t>
      </w:r>
    </w:p>
    <w:p>
      <w:pPr>
        <w:pStyle w:val="Normal"/>
        <w:ind w:right="140"/>
        <w:jc w:val="both"/>
        <w:rPr>
          <w:sz w:val="25"/>
          <w:szCs w:val="25"/>
        </w:rPr>
      </w:pPr>
      <w:r>
        <w:rPr>
          <w:b/>
          <w:bCs/>
          <w:sz w:val="25"/>
          <w:szCs w:val="25"/>
        </w:rPr>
        <w:t xml:space="preserve">14.14. </w:t>
      </w:r>
      <w:r>
        <w:rPr>
          <w:rFonts w:eastAsia="Calibri"/>
          <w:color w:val="000000"/>
          <w:sz w:val="25"/>
          <w:szCs w:val="25"/>
          <w:lang w:eastAsia="en-US"/>
        </w:rPr>
        <w:t>A presente licitação somente poderá ser revogada por razões de interesse público, decorrentes de fato superveniente devidamente comprovado, ou anulada no todo ou em parte, por ilegalidade, de ofício ou por provocação de terceiros, mediante parecer escrito e devidamente fundamentado.</w:t>
      </w:r>
    </w:p>
    <w:p>
      <w:pPr>
        <w:pStyle w:val="Normal"/>
        <w:ind w:right="140"/>
        <w:jc w:val="both"/>
        <w:rPr>
          <w:sz w:val="25"/>
          <w:szCs w:val="25"/>
        </w:rPr>
      </w:pPr>
      <w:r>
        <w:rPr>
          <w:b/>
          <w:bCs/>
          <w:sz w:val="25"/>
          <w:szCs w:val="25"/>
        </w:rPr>
        <w:t xml:space="preserve">14.15. </w:t>
      </w:r>
      <w:r>
        <w:rPr>
          <w:rFonts w:eastAsia="Calibri"/>
          <w:color w:val="000000"/>
          <w:sz w:val="25"/>
          <w:szCs w:val="25"/>
          <w:lang w:eastAsia="en-US"/>
        </w:rPr>
        <w:t>A licitante declarada vencedora no certame ficará obrigada a aceitar, nas mesmas condições contratuais, os acréscimos ou supressões que se fizerem necessárias, até o limite previsto no art. 125 da Lei nº 14.133/2021.</w:t>
      </w:r>
    </w:p>
    <w:p>
      <w:pPr>
        <w:pStyle w:val="Normal"/>
        <w:ind w:right="140"/>
        <w:jc w:val="both"/>
        <w:rPr>
          <w:sz w:val="25"/>
          <w:szCs w:val="25"/>
        </w:rPr>
      </w:pPr>
      <w:r>
        <w:rPr>
          <w:rFonts w:eastAsia="Calibri"/>
          <w:b/>
          <w:bCs/>
          <w:color w:val="000000"/>
          <w:sz w:val="25"/>
          <w:szCs w:val="25"/>
          <w:lang w:eastAsia="en-US"/>
        </w:rPr>
        <w:t>14.16.</w:t>
      </w:r>
      <w:r>
        <w:rPr>
          <w:rFonts w:eastAsia="Calibri"/>
          <w:color w:val="000000"/>
          <w:sz w:val="25"/>
          <w:szCs w:val="25"/>
          <w:lang w:eastAsia="en-US"/>
        </w:rPr>
        <w:t xml:space="preserve"> Os casos não previstos neste Edital serão resolvidos pelo Setor de Licitações do Município.</w:t>
      </w:r>
    </w:p>
    <w:p>
      <w:pPr>
        <w:pStyle w:val="Normal"/>
        <w:ind w:right="140"/>
        <w:jc w:val="both"/>
        <w:rPr>
          <w:sz w:val="25"/>
          <w:szCs w:val="25"/>
        </w:rPr>
      </w:pPr>
      <w:r>
        <w:rPr>
          <w:rFonts w:eastAsia="Calibri"/>
          <w:b/>
          <w:bCs/>
          <w:color w:val="000000"/>
          <w:sz w:val="25"/>
          <w:szCs w:val="25"/>
          <w:lang w:eastAsia="en-US"/>
        </w:rPr>
        <w:t>14.17.</w:t>
      </w:r>
      <w:r>
        <w:rPr>
          <w:rFonts w:eastAsia="Calibri"/>
          <w:bCs/>
          <w:color w:val="000000"/>
          <w:sz w:val="25"/>
          <w:szCs w:val="25"/>
          <w:lang w:eastAsia="en-US"/>
        </w:rPr>
        <w:tab/>
        <w:t>Integram este Edital, para todos os fins e efeitos, os seguintes anexos:</w:t>
      </w:r>
    </w:p>
    <w:p>
      <w:pPr>
        <w:pStyle w:val="Normal"/>
        <w:ind w:right="140"/>
        <w:jc w:val="both"/>
        <w:rPr>
          <w:sz w:val="25"/>
          <w:szCs w:val="25"/>
        </w:rPr>
      </w:pPr>
      <w:r>
        <w:rPr>
          <w:rFonts w:eastAsia="Calibri"/>
          <w:b/>
          <w:bCs/>
          <w:sz w:val="25"/>
          <w:szCs w:val="25"/>
          <w:lang w:eastAsia="en-US"/>
        </w:rPr>
        <w:t>14.17.1</w:t>
      </w:r>
      <w:r>
        <w:rPr>
          <w:rFonts w:eastAsia="Calibri"/>
          <w:bCs/>
          <w:sz w:val="25"/>
          <w:szCs w:val="25"/>
          <w:lang w:eastAsia="en-US"/>
        </w:rPr>
        <w:t>.</w:t>
      </w:r>
      <w:r>
        <w:rPr>
          <w:rFonts w:eastAsia="Calibri"/>
          <w:sz w:val="25"/>
          <w:szCs w:val="25"/>
          <w:lang w:eastAsia="en-US"/>
        </w:rPr>
        <w:t xml:space="preserve"> Anexo I – Termo de Referência;</w:t>
      </w:r>
    </w:p>
    <w:p>
      <w:pPr>
        <w:pStyle w:val="Normal"/>
        <w:ind w:right="140"/>
        <w:jc w:val="both"/>
        <w:rPr>
          <w:sz w:val="25"/>
          <w:szCs w:val="25"/>
        </w:rPr>
      </w:pPr>
      <w:r>
        <w:rPr>
          <w:rFonts w:eastAsia="Calibri"/>
          <w:b/>
          <w:bCs/>
          <w:sz w:val="25"/>
          <w:szCs w:val="25"/>
          <w:lang w:eastAsia="en-US"/>
        </w:rPr>
        <w:t>14.17.2</w:t>
      </w:r>
      <w:r>
        <w:rPr>
          <w:rFonts w:eastAsia="Calibri"/>
          <w:bCs/>
          <w:sz w:val="25"/>
          <w:szCs w:val="25"/>
          <w:lang w:eastAsia="en-US"/>
        </w:rPr>
        <w:t>.</w:t>
      </w:r>
      <w:r>
        <w:rPr>
          <w:rFonts w:eastAsia="Calibri"/>
          <w:sz w:val="25"/>
          <w:szCs w:val="25"/>
          <w:lang w:eastAsia="en-US"/>
        </w:rPr>
        <w:t xml:space="preserve"> Anexo II – Modelo de Proposta;</w:t>
      </w:r>
    </w:p>
    <w:p>
      <w:pPr>
        <w:pStyle w:val="Normal"/>
        <w:ind w:right="140"/>
        <w:jc w:val="both"/>
        <w:rPr>
          <w:sz w:val="25"/>
          <w:szCs w:val="25"/>
        </w:rPr>
      </w:pPr>
      <w:r>
        <w:rPr>
          <w:rFonts w:eastAsia="Calibri"/>
          <w:b/>
          <w:bCs/>
          <w:sz w:val="25"/>
          <w:szCs w:val="25"/>
          <w:lang w:eastAsia="en-US"/>
        </w:rPr>
        <w:t>14.17.3</w:t>
      </w:r>
      <w:r>
        <w:rPr>
          <w:rFonts w:eastAsia="Calibri"/>
          <w:bCs/>
          <w:sz w:val="25"/>
          <w:szCs w:val="25"/>
          <w:lang w:eastAsia="en-US"/>
        </w:rPr>
        <w:t>.</w:t>
      </w:r>
      <w:r>
        <w:rPr>
          <w:rFonts w:eastAsia="Calibri"/>
          <w:sz w:val="25"/>
          <w:szCs w:val="25"/>
          <w:lang w:eastAsia="en-US"/>
        </w:rPr>
        <w:t xml:space="preserve"> Anexo III – Modelos de Declarações para Habilitação;</w:t>
      </w:r>
    </w:p>
    <w:p>
      <w:pPr>
        <w:pStyle w:val="Normal"/>
        <w:ind w:right="140"/>
        <w:jc w:val="both"/>
        <w:rPr>
          <w:sz w:val="25"/>
          <w:szCs w:val="25"/>
        </w:rPr>
      </w:pPr>
      <w:r>
        <w:rPr>
          <w:rFonts w:eastAsia="Calibri"/>
          <w:b/>
          <w:sz w:val="25"/>
          <w:szCs w:val="25"/>
          <w:lang w:eastAsia="en-US"/>
        </w:rPr>
        <w:t>14.17.4</w:t>
      </w:r>
      <w:r>
        <w:rPr>
          <w:rFonts w:eastAsia="Calibri"/>
          <w:sz w:val="25"/>
          <w:szCs w:val="25"/>
          <w:lang w:eastAsia="en-US"/>
        </w:rPr>
        <w:t>. Anexo IV – Modelo de Declaração de ME/EPP;</w:t>
      </w:r>
    </w:p>
    <w:p>
      <w:pPr>
        <w:pStyle w:val="Normal"/>
        <w:ind w:right="140"/>
        <w:jc w:val="both"/>
        <w:rPr>
          <w:sz w:val="25"/>
          <w:szCs w:val="25"/>
        </w:rPr>
      </w:pPr>
      <w:r>
        <w:rPr>
          <w:rFonts w:eastAsia="Calibri"/>
          <w:b/>
          <w:bCs/>
          <w:sz w:val="25"/>
          <w:szCs w:val="25"/>
          <w:lang w:eastAsia="en-US"/>
        </w:rPr>
        <w:t>14.17.5</w:t>
      </w:r>
      <w:r>
        <w:rPr>
          <w:rFonts w:eastAsia="Calibri"/>
          <w:bCs/>
          <w:sz w:val="25"/>
          <w:szCs w:val="25"/>
          <w:lang w:eastAsia="en-US"/>
        </w:rPr>
        <w:t>.</w:t>
      </w:r>
      <w:r>
        <w:rPr>
          <w:rFonts w:eastAsia="Calibri"/>
          <w:sz w:val="25"/>
          <w:szCs w:val="25"/>
          <w:lang w:eastAsia="en-US"/>
        </w:rPr>
        <w:t xml:space="preserve"> Anexo V – Minuta da Ata de Registro de Preços.</w:t>
      </w:r>
    </w:p>
    <w:p>
      <w:pPr>
        <w:pStyle w:val="Normal"/>
        <w:ind w:right="140"/>
        <w:jc w:val="both"/>
        <w:rPr>
          <w:sz w:val="25"/>
          <w:szCs w:val="25"/>
        </w:rPr>
      </w:pPr>
      <w:r>
        <w:rPr>
          <w:rFonts w:eastAsia="Calibri"/>
          <w:b/>
          <w:bCs/>
          <w:sz w:val="25"/>
          <w:szCs w:val="25"/>
          <w:lang w:eastAsia="en-US"/>
        </w:rPr>
        <w:t>14.18.</w:t>
      </w:r>
      <w:r>
        <w:rPr>
          <w:rFonts w:eastAsia="Calibri"/>
          <w:sz w:val="25"/>
          <w:szCs w:val="25"/>
          <w:lang w:eastAsia="en-US"/>
        </w:rPr>
        <w:t xml:space="preserve"> Para dirimir, na esfera judicial, as questões oriundas do presente Edital, será competente Foro da Comarca de Caçapava do Sul – RS, com a renúncia expressa de qualquer outro Foro.</w:t>
      </w:r>
    </w:p>
    <w:p>
      <w:pPr>
        <w:pStyle w:val="Normal"/>
        <w:ind w:right="140"/>
        <w:jc w:val="both"/>
        <w:rPr>
          <w:rFonts w:eastAsia="Calibri"/>
          <w:sz w:val="25"/>
          <w:szCs w:val="25"/>
          <w:lang w:eastAsia="en-US"/>
        </w:rPr>
      </w:pPr>
      <w:r>
        <w:rPr>
          <w:rFonts w:eastAsia="Calibri"/>
          <w:sz w:val="25"/>
          <w:szCs w:val="25"/>
          <w:lang w:eastAsia="en-US"/>
        </w:rPr>
      </w:r>
    </w:p>
    <w:p>
      <w:pPr>
        <w:pStyle w:val="Normal"/>
        <w:ind w:right="140"/>
        <w:jc w:val="both"/>
        <w:rPr>
          <w:sz w:val="25"/>
          <w:szCs w:val="25"/>
        </w:rPr>
      </w:pPr>
      <w:r>
        <w:rPr>
          <w:rFonts w:eastAsia="Calibri"/>
          <w:sz w:val="25"/>
          <w:szCs w:val="25"/>
          <w:lang w:eastAsia="en-US"/>
        </w:rPr>
        <w:t>Caçapava do Sul, 27 de janeiro de 2026.</w:t>
      </w:r>
    </w:p>
    <w:p>
      <w:pPr>
        <w:pStyle w:val="Normal"/>
        <w:ind w:right="140"/>
        <w:jc w:val="both"/>
        <w:rPr>
          <w:rFonts w:eastAsia="Calibri"/>
          <w:sz w:val="25"/>
          <w:szCs w:val="25"/>
          <w:lang w:eastAsia="en-US"/>
        </w:rPr>
      </w:pPr>
      <w:r>
        <w:rPr>
          <w:rFonts w:eastAsia="Calibri"/>
          <w:sz w:val="25"/>
          <w:szCs w:val="25"/>
          <w:lang w:eastAsia="en-US"/>
        </w:rPr>
      </w:r>
    </w:p>
    <w:p>
      <w:pPr>
        <w:pStyle w:val="Normal"/>
        <w:ind w:right="140"/>
        <w:jc w:val="both"/>
        <w:rPr>
          <w:rFonts w:eastAsia="Calibri"/>
          <w:sz w:val="25"/>
          <w:szCs w:val="25"/>
          <w:lang w:eastAsia="en-US"/>
        </w:rPr>
      </w:pPr>
      <w:r>
        <w:rPr>
          <w:rFonts w:eastAsia="Calibri"/>
          <w:sz w:val="25"/>
          <w:szCs w:val="25"/>
          <w:lang w:eastAsia="en-US"/>
        </w:rPr>
      </w:r>
    </w:p>
    <w:p>
      <w:pPr>
        <w:pStyle w:val="Normal"/>
        <w:ind w:right="140"/>
        <w:jc w:val="both"/>
        <w:rPr>
          <w:rFonts w:eastAsia="Calibri"/>
          <w:sz w:val="25"/>
          <w:szCs w:val="25"/>
          <w:lang w:eastAsia="en-US"/>
        </w:rPr>
      </w:pPr>
      <w:r>
        <w:rPr>
          <w:rFonts w:eastAsia="Calibri"/>
          <w:sz w:val="25"/>
          <w:szCs w:val="25"/>
          <w:lang w:eastAsia="en-US"/>
        </w:rPr>
      </w:r>
    </w:p>
    <w:p>
      <w:pPr>
        <w:pStyle w:val="Normal"/>
        <w:ind w:right="140"/>
        <w:jc w:val="center"/>
        <w:rPr>
          <w:sz w:val="25"/>
          <w:szCs w:val="25"/>
        </w:rPr>
      </w:pPr>
      <w:r>
        <w:rPr>
          <w:rFonts w:eastAsia="Calibri"/>
          <w:b/>
          <w:color w:val="000000"/>
          <w:sz w:val="25"/>
          <w:szCs w:val="25"/>
          <w:lang w:eastAsia="en-US"/>
        </w:rPr>
        <w:t>MARCELO C. SPODE,</w:t>
      </w:r>
    </w:p>
    <w:p>
      <w:pPr>
        <w:pStyle w:val="Normal"/>
        <w:ind w:right="140"/>
        <w:jc w:val="center"/>
        <w:rPr>
          <w:sz w:val="25"/>
          <w:szCs w:val="25"/>
        </w:rPr>
      </w:pPr>
      <w:r>
        <w:rPr>
          <w:rFonts w:eastAsia="Calibri"/>
          <w:b/>
          <w:color w:val="000000"/>
          <w:sz w:val="25"/>
          <w:szCs w:val="25"/>
          <w:lang w:eastAsia="en-US"/>
        </w:rPr>
        <w:t>Prefeito.</w:t>
      </w:r>
    </w:p>
    <w:p>
      <w:pPr>
        <w:pStyle w:val="BodyText"/>
        <w:spacing w:before="120" w:after="0"/>
        <w:ind w:right="140"/>
        <w:jc w:val="center"/>
        <w:rPr>
          <w:b/>
          <w:sz w:val="25"/>
          <w:szCs w:val="25"/>
        </w:rPr>
      </w:pPr>
      <w:r>
        <w:rPr>
          <w:b/>
          <w:sz w:val="25"/>
          <w:szCs w:val="25"/>
        </w:rPr>
      </w:r>
    </w:p>
    <w:p>
      <w:pPr>
        <w:pStyle w:val="BodyText"/>
        <w:spacing w:before="120" w:after="0"/>
        <w:ind w:right="140"/>
        <w:jc w:val="center"/>
        <w:rPr>
          <w:b/>
          <w:sz w:val="25"/>
          <w:szCs w:val="25"/>
        </w:rPr>
      </w:pPr>
      <w:r>
        <w:rPr>
          <w:b/>
          <w:sz w:val="25"/>
          <w:szCs w:val="25"/>
        </w:rPr>
      </w:r>
    </w:p>
    <w:p>
      <w:pPr>
        <w:pStyle w:val="BodyText"/>
        <w:spacing w:before="120" w:after="0"/>
        <w:ind w:right="140"/>
        <w:jc w:val="center"/>
        <w:rPr>
          <w:b/>
          <w:sz w:val="25"/>
          <w:szCs w:val="25"/>
        </w:rPr>
      </w:pPr>
      <w:r>
        <w:rPr>
          <w:b/>
          <w:sz w:val="25"/>
          <w:szCs w:val="25"/>
        </w:rPr>
      </w:r>
    </w:p>
    <w:p>
      <w:pPr>
        <w:pStyle w:val="BodyText"/>
        <w:spacing w:before="120" w:after="0"/>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spacing w:before="120" w:after="0"/>
        <w:ind w:right="140"/>
        <w:jc w:val="center"/>
        <w:rPr>
          <w:sz w:val="25"/>
          <w:szCs w:val="25"/>
        </w:rPr>
      </w:pPr>
      <w:r>
        <w:rPr>
          <w:b/>
          <w:sz w:val="25"/>
          <w:szCs w:val="25"/>
        </w:rPr>
        <w:t>ANEXO I</w:t>
      </w:r>
    </w:p>
    <w:p>
      <w:pPr>
        <w:pStyle w:val="BodyText"/>
        <w:ind w:right="140"/>
        <w:jc w:val="center"/>
        <w:rPr>
          <w:b/>
          <w:sz w:val="25"/>
          <w:szCs w:val="25"/>
        </w:rPr>
      </w:pPr>
      <w:r>
        <w:rPr>
          <w:b/>
          <w:sz w:val="25"/>
          <w:szCs w:val="25"/>
        </w:rPr>
      </w:r>
    </w:p>
    <w:p>
      <w:pPr>
        <w:pStyle w:val="Normal"/>
        <w:jc w:val="center"/>
        <w:rPr>
          <w:b/>
          <w:bCs/>
          <w:sz w:val="24"/>
        </w:rPr>
      </w:pPr>
      <w:r>
        <w:rPr>
          <w:b/>
          <w:bCs/>
          <w:sz w:val="24"/>
        </w:rPr>
        <w:t>TERMO DE REFERÊNCIA</w:t>
      </w:r>
    </w:p>
    <w:p>
      <w:pPr>
        <w:pStyle w:val="Normal"/>
        <w:jc w:val="center"/>
        <w:rPr>
          <w:sz w:val="24"/>
        </w:rPr>
      </w:pPr>
      <w:r>
        <w:rPr>
          <w:color w:val="000000"/>
          <w:sz w:val="24"/>
        </w:rPr>
        <w:t xml:space="preserve"> </w:t>
      </w:r>
      <w:r>
        <w:rPr>
          <w:color w:val="000000"/>
          <w:sz w:val="24"/>
        </w:rPr>
        <w:t xml:space="preserve">Lei Federal nº 14.133/2021: art. 6º, XXIII c/c art. 40, §§ 1º e 4º </w:t>
      </w:r>
    </w:p>
    <w:p>
      <w:pPr>
        <w:pStyle w:val="Normal"/>
        <w:rPr>
          <w:sz w:val="24"/>
        </w:rPr>
      </w:pPr>
      <w:r>
        <w:rPr>
          <w:sz w:val="24"/>
        </w:rPr>
      </w:r>
    </w:p>
    <w:p>
      <w:pPr>
        <w:pStyle w:val="Normal"/>
        <w:rPr>
          <w:b/>
          <w:bCs/>
          <w:sz w:val="24"/>
        </w:rPr>
      </w:pPr>
      <w:r>
        <w:rPr>
          <w:b/>
          <w:bCs/>
          <w:sz w:val="24"/>
        </w:rPr>
      </w:r>
    </w:p>
    <w:p>
      <w:pPr>
        <w:pStyle w:val="Normal"/>
        <w:rPr>
          <w:b/>
          <w:bCs/>
          <w:sz w:val="24"/>
        </w:rPr>
      </w:pPr>
      <w:r>
        <w:rPr>
          <w:b/>
          <w:bCs/>
          <w:sz w:val="24"/>
        </w:rPr>
        <w:t>1. GERAIS DA CONTRATAÇÃO</w:t>
      </w:r>
    </w:p>
    <w:p>
      <w:pPr>
        <w:pStyle w:val="Normal"/>
        <w:rPr>
          <w:b/>
          <w:bCs/>
          <w:sz w:val="24"/>
        </w:rPr>
      </w:pPr>
      <w:r>
        <w:rPr>
          <w:b/>
          <w:bCs/>
          <w:sz w:val="24"/>
        </w:rPr>
        <w:t>1.1. Da definição do objeto</w:t>
      </w:r>
    </w:p>
    <w:p>
      <w:pPr>
        <w:pStyle w:val="Default"/>
        <w:spacing w:lineRule="auto" w:line="360"/>
        <w:jc w:val="both"/>
        <w:rPr>
          <w:rFonts w:ascii="Times New Roman" w:hAnsi="Times New Roman" w:cs="Times New Roman"/>
        </w:rPr>
      </w:pPr>
      <w:r>
        <w:rPr>
          <w:rFonts w:cs="Times New Roman" w:ascii="Times New Roman" w:hAnsi="Times New Roman"/>
        </w:rPr>
        <w:tab/>
        <w:t xml:space="preserve">O presente Termo de Referência tem por objeto, o Registro de Preço com base no Art. 82 da Lei Federal nº 14.133/2021 para contratação de empresa especializada para eventual prestação de serviços de corte grama e rastelagem (corte e remoção de grama/mato de áreas verdes, incluindo fornecimento de mão de obra, insumos, equipamentos necessários e adequados para perfeita execução dos serviços) para manutenção e conservação dos Módulos Esportivos e Escolas que compõem a Rede Municipal de Ensino e estão vinculados a Secretaria de Município da Educação, Esportes e Lazer (SMEEL), de acordo com as especificações e conforme condições, quantidades e exigências estabelecidas neste instrumento.  </w:t>
      </w:r>
    </w:p>
    <w:p>
      <w:pPr>
        <w:pStyle w:val="Default"/>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bCs/>
        </w:rPr>
        <w:t>1.2. Justificativa</w:t>
      </w:r>
    </w:p>
    <w:p>
      <w:pPr>
        <w:pStyle w:val="Ds-markdown-paragraph"/>
        <w:shd w:val="clear" w:color="auto" w:fill="FFFFFF"/>
        <w:spacing w:lineRule="auto" w:line="360" w:beforeAutospacing="0" w:before="0" w:afterAutospacing="0" w:after="0"/>
        <w:jc w:val="both"/>
        <w:rPr>
          <w:color w:val="0F1115"/>
        </w:rPr>
      </w:pPr>
      <w:r>
        <w:rPr>
          <w:color w:val="000000"/>
        </w:rPr>
        <w:tab/>
      </w:r>
      <w:r>
        <w:rPr>
          <w:color w:val="0F1115"/>
        </w:rPr>
        <w:t>A Secretaria de Município da Educação, Esportes e Lazer (SMEEL) é responsável pela gestão, manutenção e conservação das unidades educacionais e módulos esportivos da rede municipal, ambientes fundamentais para o desenvolvimento pedagógico, a prática de atividades físicas e o convívio social da comunidade escolar.</w:t>
      </w:r>
    </w:p>
    <w:p>
      <w:pPr>
        <w:pStyle w:val="Ds-markdown-paragraph"/>
        <w:shd w:val="clear" w:color="auto" w:fill="FFFFFF"/>
        <w:spacing w:lineRule="auto" w:line="360" w:beforeAutospacing="0" w:before="0" w:afterAutospacing="0" w:after="0"/>
        <w:ind w:firstLine="720"/>
        <w:jc w:val="both"/>
        <w:rPr>
          <w:color w:val="0F1115"/>
        </w:rPr>
      </w:pPr>
      <w:r>
        <w:rPr>
          <w:color w:val="0F1115"/>
        </w:rPr>
        <w:t>A presença de áreas verdes, gramados e campos esportivos nestes locais é um componente essencial de infraestrutura, promovendo um ambiente escolar saudável, seguro e propício ao aprendizado e ao lazer. No entanto, a manutenção inadequada dessa vegetação acarreta uma série de prejuízos, tais como:</w:t>
      </w:r>
    </w:p>
    <w:p>
      <w:pPr>
        <w:pStyle w:val="Ds-markdown-paragraph"/>
        <w:numPr>
          <w:ilvl w:val="0"/>
          <w:numId w:val="8"/>
        </w:numPr>
        <w:shd w:val="clear" w:color="auto" w:fill="FFFFFF"/>
        <w:spacing w:lineRule="auto" w:line="360" w:beforeAutospacing="0" w:before="0" w:afterAutospacing="0" w:after="0"/>
        <w:jc w:val="both"/>
        <w:rPr>
          <w:color w:val="0F1115"/>
        </w:rPr>
      </w:pPr>
      <w:r>
        <w:rPr>
          <w:rStyle w:val="Strong"/>
          <w:color w:val="0F1115"/>
        </w:rPr>
        <w:t>Riscos à Saúde Pública e ao Meio Ambiente:</w:t>
      </w:r>
      <w:r>
        <w:rPr>
          <w:color w:val="0F1115"/>
        </w:rPr>
        <w:t> O crescimento excessivo de grama e mato favorece a proliferação de vetores de doenças (como mosquitos, aranhas e carrapatos), aumenta a incidência de alergias respiratórias pelo acúmulo de pólen e, em períodos secos, constitui um significativo risco de incêndio.</w:t>
      </w:r>
    </w:p>
    <w:p>
      <w:pPr>
        <w:pStyle w:val="Ds-markdown-paragraph"/>
        <w:numPr>
          <w:ilvl w:val="0"/>
          <w:numId w:val="8"/>
        </w:numPr>
        <w:shd w:val="clear" w:color="auto" w:fill="FFFFFF"/>
        <w:spacing w:lineRule="auto" w:line="360" w:beforeAutospacing="0" w:before="0" w:afterAutospacing="0" w:after="0"/>
        <w:jc w:val="both"/>
        <w:rPr>
          <w:color w:val="0F1115"/>
        </w:rPr>
      </w:pPr>
      <w:r>
        <w:rPr>
          <w:rStyle w:val="Strong"/>
          <w:color w:val="0F1115"/>
        </w:rPr>
        <w:t>Degradação e Subutilização dos Espaços:</w:t>
      </w:r>
      <w:r>
        <w:rPr>
          <w:color w:val="0F1115"/>
        </w:rPr>
        <w:t> Campos de futebol, quadras esportivas e áreas de recreação com grama irregular ou invadidas por mato tornam-se impróprios para as atividades físicas e de lazer, frustrando sua finalidade educativa e esportiva. Além disso, a vegetação descontrolada pode danificar estruturas físicas como muros, calçadas e drenagens.</w:t>
      </w:r>
    </w:p>
    <w:p>
      <w:pPr>
        <w:pStyle w:val="ListParagraph"/>
        <w:rPr>
          <w:color w:val="0F1115"/>
          <w:sz w:val="24"/>
          <w:szCs w:val="24"/>
        </w:rPr>
      </w:pPr>
      <w:r>
        <w:rPr>
          <w:color w:val="0F1115"/>
          <w:sz w:val="24"/>
          <w:szCs w:val="24"/>
        </w:rPr>
      </w:r>
    </w:p>
    <w:p>
      <w:pPr>
        <w:pStyle w:val="Ds-markdown-paragraph"/>
        <w:shd w:val="clear" w:color="auto" w:fill="FFFFFF"/>
        <w:spacing w:lineRule="auto" w:line="360" w:beforeAutospacing="0" w:before="0" w:afterAutospacing="0" w:after="0"/>
        <w:ind w:firstLine="360"/>
        <w:jc w:val="both"/>
        <w:rPr>
          <w:color w:val="0F1115"/>
        </w:rPr>
      </w:pPr>
      <w:r>
        <w:rPr>
          <w:color w:val="0F1115"/>
        </w:rPr>
        <w:t>A SMEEL não dispõe, em sua estrutura própria, de equipe especializada suficiente, maquinário (como roçadeiras, aparadores, sopradores e carrinho de coleta), equipamentos de proteção individual (EPIs) e insumos necessários para executar a manutenção periódica e de qualidade de todas as suas áreas verdes de forma contínua e eficaz.</w:t>
      </w:r>
    </w:p>
    <w:p>
      <w:pPr>
        <w:pStyle w:val="Default"/>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bCs/>
        </w:rPr>
        <w:t>1.3 Especificações Técnicas</w:t>
      </w:r>
    </w:p>
    <w:p>
      <w:pPr>
        <w:pStyle w:val="Default"/>
        <w:spacing w:lineRule="auto" w:line="360"/>
        <w:ind w:firstLine="720"/>
        <w:jc w:val="both"/>
        <w:rPr>
          <w:rFonts w:ascii="Times New Roman" w:hAnsi="Times New Roman" w:cs="Times New Roman"/>
        </w:rPr>
      </w:pPr>
      <w:r>
        <w:rPr>
          <w:rFonts w:cs="Times New Roman" w:ascii="Times New Roman" w:hAnsi="Times New Roman"/>
        </w:rPr>
        <w:t>As especificações técnicas e normas aplicadas estão detalhadas no item 1.5 de acordo com cada um dos lotes incluídos nesse Termo de Referência.</w:t>
      </w:r>
    </w:p>
    <w:p>
      <w:pPr>
        <w:pStyle w:val="Default"/>
        <w:rPr>
          <w:rFonts w:ascii="Times New Roman" w:hAnsi="Times New Roman" w:cs="Times New Roman"/>
        </w:rPr>
      </w:pPr>
      <w:r>
        <w:rPr>
          <w:rFonts w:cs="Times New Roman" w:ascii="Times New Roman" w:hAnsi="Times New Roman"/>
          <w:b/>
        </w:rPr>
        <w:t xml:space="preserve">1.4. Das condições de efetivação do serviço. </w:t>
      </w:r>
    </w:p>
    <w:p>
      <w:pPr>
        <w:pStyle w:val="Default"/>
        <w:spacing w:lineRule="auto" w:line="360"/>
        <w:jc w:val="both"/>
        <w:rPr>
          <w:rFonts w:ascii="Times New Roman" w:hAnsi="Times New Roman" w:cs="Times New Roman"/>
        </w:rPr>
      </w:pPr>
      <w:r>
        <w:rPr>
          <w:rFonts w:cs="Times New Roman" w:ascii="Times New Roman" w:hAnsi="Times New Roman"/>
        </w:rPr>
        <w:tab/>
        <w:t>A prestação dos serviços constantes neste Termo de Referência será solicitada mediante o menor valor apresentado em cada proposta e a comprovação dos requisitos solicitados as normas técnicas vigentes.</w:t>
      </w:r>
    </w:p>
    <w:p>
      <w:pPr>
        <w:pStyle w:val="Default"/>
        <w:rPr>
          <w:rFonts w:ascii="Times New Roman" w:hAnsi="Times New Roman" w:cs="Times New Roman"/>
          <w:b/>
        </w:rPr>
      </w:pPr>
      <w:r>
        <w:rPr>
          <w:rFonts w:cs="Times New Roman" w:ascii="Times New Roman" w:hAnsi="Times New Roman"/>
          <w:b/>
        </w:rPr>
        <w:t xml:space="preserve">1.5. Descrição do item e a quantidade da contratação: </w:t>
      </w:r>
    </w:p>
    <w:p>
      <w:pPr>
        <w:pStyle w:val="Default"/>
        <w:rPr>
          <w:b/>
        </w:rPr>
      </w:pPr>
      <w:r>
        <w:rPr>
          <w:b/>
        </w:rPr>
      </w:r>
    </w:p>
    <w:tbl>
      <w:tblPr>
        <w:tblW w:w="9570" w:type="dxa"/>
        <w:jc w:val="left"/>
        <w:tblInd w:w="-140" w:type="dxa"/>
        <w:tblLayout w:type="fixed"/>
        <w:tblCellMar>
          <w:top w:w="55" w:type="dxa"/>
          <w:left w:w="55" w:type="dxa"/>
          <w:bottom w:w="55" w:type="dxa"/>
          <w:right w:w="55" w:type="dxa"/>
        </w:tblCellMar>
        <w:tblLook w:firstRow="1" w:noVBand="1" w:lastRow="0" w:firstColumn="1" w:lastColumn="0" w:noHBand="0" w:val="04a0"/>
      </w:tblPr>
      <w:tblGrid>
        <w:gridCol w:w="667"/>
        <w:gridCol w:w="6331"/>
        <w:gridCol w:w="1214"/>
        <w:gridCol w:w="1357"/>
      </w:tblGrid>
      <w:tr>
        <w:trPr/>
        <w:tc>
          <w:tcPr>
            <w:tcW w:w="667"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b/>
                <w:bCs/>
                <w:color w:val="000000"/>
                <w:sz w:val="25"/>
                <w:szCs w:val="25"/>
              </w:rPr>
              <w:t>Item</w:t>
            </w:r>
          </w:p>
        </w:tc>
        <w:tc>
          <w:tcPr>
            <w:tcW w:w="6331"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b/>
                <w:bCs/>
                <w:color w:val="000000"/>
                <w:sz w:val="25"/>
                <w:szCs w:val="25"/>
              </w:rPr>
              <w:t>Descrição</w:t>
            </w:r>
          </w:p>
        </w:tc>
        <w:tc>
          <w:tcPr>
            <w:tcW w:w="1214"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b/>
                <w:bCs/>
                <w:sz w:val="25"/>
                <w:szCs w:val="25"/>
              </w:rPr>
              <w:t>Unidade de Medida</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b/>
                <w:bCs/>
                <w:color w:val="000000"/>
                <w:sz w:val="25"/>
                <w:szCs w:val="25"/>
              </w:rPr>
              <w:t>Quant.</w:t>
            </w:r>
          </w:p>
          <w:p>
            <w:pPr>
              <w:pStyle w:val="Contedodatabela"/>
              <w:jc w:val="center"/>
              <w:rPr>
                <w:rFonts w:ascii="Times New Roman" w:hAnsi="Times New Roman"/>
                <w:sz w:val="25"/>
                <w:szCs w:val="25"/>
              </w:rPr>
            </w:pPr>
            <w:r>
              <w:rPr>
                <w:rFonts w:ascii="Times New Roman" w:hAnsi="Times New Roman"/>
                <w:b/>
                <w:bCs/>
                <w:color w:val="000000"/>
                <w:sz w:val="25"/>
                <w:szCs w:val="25"/>
              </w:rPr>
              <w:t>Estimada</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01</w:t>
            </w:r>
          </w:p>
        </w:tc>
        <w:tc>
          <w:tcPr>
            <w:tcW w:w="6331"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Corte de grama e roçada de vegetação leve: grama alta, capim, arbustos (até 1,5 m de altura), inclusive com remoção do material resultante do corte e/ou roçada (com fornecimento do transporte e equipamentos necessários para o descarte correto dos resíduos), bem como com o fornecimento dos equipamentos (roçadeiras manuais) e equipamentos de proteção individual, e os insumos necessários para o funcionamento dos equipamentos.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b/>
                <w:sz w:val="25"/>
                <w:szCs w:val="25"/>
              </w:rPr>
            </w:pPr>
            <w:r>
              <w:rPr>
                <w:rFonts w:ascii="Times New Roman" w:hAnsi="Times New Roman"/>
                <w:b/>
                <w:sz w:val="25"/>
                <w:szCs w:val="25"/>
              </w:rPr>
              <w:t>Item Exclusivo ME/EPP</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245.000</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color w:val="000000"/>
                <w:sz w:val="25"/>
                <w:szCs w:val="25"/>
              </w:rPr>
            </w:pPr>
            <w:r>
              <w:rPr>
                <w:rFonts w:ascii="Times New Roman" w:hAnsi="Times New Roman"/>
                <w:color w:val="000000"/>
                <w:sz w:val="25"/>
                <w:szCs w:val="25"/>
              </w:rPr>
              <w:t>02</w:t>
            </w:r>
          </w:p>
        </w:tc>
        <w:tc>
          <w:tcPr>
            <w:tcW w:w="6331"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Corte de grama e roçada de vegetação leve: grama alta, capim, arbustos (até 1,5 m de altura), inclusive com remoção do material resultante do corte e/ou roçada (com fornecimento do transporte e equipamentos necessários para o descarte correto dos resíduos), bem como com o fornecimento dos equipamentos (roçadeiras manuais) e equipamentos de proteção individual, e os insumos necessários para o funcionamento dos equipamentos.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sz w:val="25"/>
                <w:szCs w:val="25"/>
              </w:rPr>
            </w:pPr>
            <w:r>
              <w:rPr>
                <w:rFonts w:ascii="Times New Roman" w:hAnsi="Times New Roman"/>
                <w:b/>
                <w:sz w:val="25"/>
                <w:szCs w:val="25"/>
              </w:rPr>
              <w:t>Item Ampla Concorrência</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735.000</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03</w:t>
            </w:r>
          </w:p>
        </w:tc>
        <w:tc>
          <w:tcPr>
            <w:tcW w:w="6331"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Capina e limpeza de canteiros, pista e jardineiras, incluindo ferramentas e materiais para a execução dos serviços, inclusive com remoção do material resultante da capina e limpeza de canteiros (com fornecimento do transporte e equipamentos necessários para o descarte correto dos resíduos).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sz w:val="25"/>
                <w:szCs w:val="25"/>
              </w:rPr>
            </w:pPr>
            <w:r>
              <w:rPr>
                <w:rFonts w:ascii="Times New Roman" w:hAnsi="Times New Roman"/>
                <w:b/>
                <w:sz w:val="25"/>
                <w:szCs w:val="25"/>
              </w:rPr>
              <w:t>Item Exclusivo ME/EPP</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150.000</w:t>
            </w:r>
          </w:p>
        </w:tc>
      </w:tr>
    </w:tbl>
    <w:p>
      <w:pPr>
        <w:pStyle w:val="Default"/>
        <w:rPr/>
      </w:pPr>
      <w:r>
        <w:rPr/>
      </w:r>
      <w:bookmarkStart w:id="13" w:name="_GoBack_Copia_1_Copia_1"/>
      <w:bookmarkStart w:id="14" w:name="_GoBack_Copia_1_Copia_1"/>
      <w:bookmarkEnd w:id="14"/>
    </w:p>
    <w:p>
      <w:pPr>
        <w:pStyle w:val="Default"/>
        <w:rPr>
          <w:rFonts w:ascii="Times New Roman" w:hAnsi="Times New Roman" w:cs="Times New Roman"/>
        </w:rPr>
      </w:pPr>
      <w:r>
        <w:rPr>
          <w:rFonts w:cs="Times New Roman" w:ascii="Times New Roman" w:hAnsi="Times New Roman"/>
          <w:b/>
        </w:rPr>
        <w:t xml:space="preserve">1.6. Da estimativa do valor da contratação e preço máximo: </w:t>
      </w:r>
    </w:p>
    <w:p>
      <w:pPr>
        <w:pStyle w:val="Default"/>
        <w:spacing w:lineRule="auto" w:line="360"/>
        <w:jc w:val="both"/>
        <w:rPr>
          <w:rFonts w:ascii="Times New Roman" w:hAnsi="Times New Roman" w:cs="Times New Roman"/>
        </w:rPr>
      </w:pPr>
      <w:r>
        <w:rPr>
          <w:rFonts w:cs="Times New Roman" w:ascii="Times New Roman" w:hAnsi="Times New Roman"/>
        </w:rPr>
        <w:tab/>
        <w:t>Método Matemático Aplicado: Média Aritmética dos preços obtidos, que é o preço calculado com base na média aritmética de todos os preços selecionados pelo usuário para aquele determinado item. Ainda, conforme a Instrução Normativa nº 65 de 07 de Julho de 2021, no art. 3º, “A pesquisa de preços será materializada em documento que conterá: INC V- Método matemático aplicado para a definição do valor estimado”.</w:t>
      </w:r>
    </w:p>
    <w:p>
      <w:pPr>
        <w:pStyle w:val="Default"/>
        <w:spacing w:lineRule="auto" w:line="360"/>
        <w:jc w:val="both"/>
        <w:rPr>
          <w:rFonts w:ascii="Times New Roman" w:hAnsi="Times New Roman" w:cs="Times New Roman"/>
        </w:rPr>
      </w:pPr>
      <w:r>
        <w:rPr>
          <w:rFonts w:cs="Times New Roman" w:ascii="Times New Roman" w:hAnsi="Times New Roman"/>
        </w:rPr>
        <w:tab/>
        <w:t xml:space="preserve">Para a formação dos valores de referência, foram realizadas cotação de preços através de pesquisa realizada no Banco de Preços. No entanto, em consonância com o art. 24 da Lei Federal nº 14.133/2021, optou-se pela não divulgação dos valores, mantendo em sigilo com objetivo de evitar que as propostas/lances gravitem em torno dos orçamentos fixados pela administração. Essa medida deve se mostrar particularmente eficaz, levando o competidor a oferecer um preço realmente competitivo e dentro do limite de sua capacidade de executar a avença com uma lucratividade adequada. </w:t>
      </w:r>
    </w:p>
    <w:p>
      <w:pPr>
        <w:pStyle w:val="Default"/>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sz w:val="24"/>
        </w:rPr>
      </w:pPr>
      <w:r>
        <w:rPr>
          <w:b/>
          <w:color w:val="000000"/>
          <w:sz w:val="24"/>
        </w:rPr>
        <w:t>2. DA FUNDAMENTAÇÃO E DESCRIÇÃO DA NECESSIDADE DA CONTRATAÇÃO</w:t>
      </w:r>
    </w:p>
    <w:p>
      <w:pPr>
        <w:pStyle w:val="Normal"/>
        <w:spacing w:lineRule="auto" w:line="360"/>
        <w:jc w:val="both"/>
        <w:rPr>
          <w:sz w:val="24"/>
        </w:rPr>
      </w:pPr>
      <w:r>
        <w:rPr>
          <w:color w:val="000000"/>
          <w:sz w:val="24"/>
        </w:rPr>
        <w:tab/>
        <w:t>A fundamentação desta contratação tem como base o Art. 82 da Lei Federal nº 14.133/2021, e faz-se necessária para contratação de empresa especializada para eventual prestação de serviços de corte grama e rastelagem (corte e remoção de grama/mato de áreas verdes, incluindo fornecimento de mão de obra, materiais de consumo, insumos, equipamentos e maquinários necessários e adequados para execução dos serviços) servirá para a manutenção e conservação dos módulos esportivos e escolas da rede municipal de ensino vinculados a Secretaria de Município da Educação, Esportes e Lazer (SMEEL). Atualmente, o município enfrenta desafios significativos relacionados ao crescimento da vegetação em áreas públicas, que, se não controlada, pode resultar em problemas de saúde pública, como a proliferação de insetos e roedores. Além disso, a falta de roçadas regulares compromete a estética urbana e a acessibilidade, dificultando a circulação de pessoas e estudantes, especialmente em áreas de maior movimento.</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b/>
        </w:rPr>
        <w:t xml:space="preserve">3. DESCRIÇÃO DA SOLUÇÃO </w:t>
      </w:r>
    </w:p>
    <w:p>
      <w:pPr>
        <w:pStyle w:val="Default"/>
        <w:spacing w:lineRule="auto" w:line="360"/>
        <w:rPr>
          <w:rFonts w:ascii="Times New Roman" w:hAnsi="Times New Roman" w:cs="Times New Roman"/>
        </w:rPr>
      </w:pPr>
      <w:r>
        <w:rPr>
          <w:rFonts w:cs="Times New Roman" w:ascii="Times New Roman" w:hAnsi="Times New Roman"/>
        </w:rPr>
        <w:tab/>
        <w:t xml:space="preserve">A partir da definição do objeto e dos requisitos da contratação é possível definir algumas alternativas possíveis para solução da demanda: </w:t>
      </w:r>
    </w:p>
    <w:p>
      <w:pPr>
        <w:pStyle w:val="Default"/>
        <w:spacing w:lineRule="auto" w:line="360"/>
        <w:jc w:val="both"/>
        <w:rPr>
          <w:rFonts w:ascii="Times New Roman" w:hAnsi="Times New Roman" w:cs="Times New Roman"/>
        </w:rPr>
      </w:pPr>
      <w:r>
        <w:rPr>
          <w:rFonts w:cs="Times New Roman" w:ascii="Times New Roman" w:hAnsi="Times New Roman"/>
        </w:rPr>
        <w:t>- Realizar procedimento licitatório adequado para contratação de empresa especializada para eventual prestação de serviços de corte grama e rastelagem (corte e remoção de grama/mato de áreas verdes, incluindo fornecimento de mão de obra, materiais de consumo, insumos, equipamentos e maquinários necessários e adequados para execução dos serviços) servirá para a manutenção e conservação dos módulos esportivos e escolas da rede municipal de ensino vinculados a Secretaria de Município da Educação, Esportes e Lazer (SMEEL).</w:t>
      </w:r>
    </w:p>
    <w:p>
      <w:pPr>
        <w:pStyle w:val="Default"/>
        <w:spacing w:lineRule="auto" w:line="360"/>
        <w:jc w:val="both"/>
        <w:rPr>
          <w:rFonts w:ascii="Times New Roman" w:hAnsi="Times New Roman" w:cs="Times New Roman"/>
          <w:b/>
        </w:rPr>
      </w:pPr>
      <w:r>
        <w:rPr>
          <w:rFonts w:cs="Times New Roman" w:ascii="Times New Roman" w:hAnsi="Times New Roman"/>
          <w:b/>
        </w:rPr>
      </w:r>
    </w:p>
    <w:p>
      <w:pPr>
        <w:pStyle w:val="Default"/>
        <w:spacing w:lineRule="auto" w:line="360"/>
        <w:jc w:val="both"/>
        <w:rPr>
          <w:rFonts w:ascii="Times New Roman" w:hAnsi="Times New Roman" w:cs="Times New Roman"/>
        </w:rPr>
      </w:pPr>
      <w:r>
        <w:rPr>
          <w:rFonts w:cs="Times New Roman" w:ascii="Times New Roman" w:hAnsi="Times New Roman"/>
          <w:b/>
        </w:rPr>
        <w:t xml:space="preserve">4. DOS REQUISITOS DA CONTRATAÇÃO </w:t>
      </w:r>
    </w:p>
    <w:p>
      <w:pPr>
        <w:pStyle w:val="Default"/>
        <w:spacing w:lineRule="auto" w:line="360"/>
        <w:jc w:val="both"/>
        <w:rPr>
          <w:rFonts w:ascii="Times New Roman" w:hAnsi="Times New Roman" w:cs="Times New Roman"/>
        </w:rPr>
      </w:pPr>
      <w:r>
        <w:rPr>
          <w:rFonts w:cs="Times New Roman" w:ascii="Times New Roman" w:hAnsi="Times New Roman"/>
          <w:b/>
        </w:rPr>
        <w:t xml:space="preserve">4.1. Da Prestação do Serviço </w:t>
      </w:r>
    </w:p>
    <w:p>
      <w:pPr>
        <w:pStyle w:val="Default"/>
        <w:spacing w:lineRule="auto" w:line="360"/>
        <w:jc w:val="both"/>
        <w:rPr>
          <w:rFonts w:ascii="Times New Roman" w:hAnsi="Times New Roman" w:cs="Times New Roman"/>
        </w:rPr>
      </w:pPr>
      <w:r>
        <w:rPr>
          <w:rFonts w:cs="Times New Roman" w:ascii="Times New Roman" w:hAnsi="Times New Roman"/>
        </w:rPr>
        <w:tab/>
        <w:t>Para participação no presente certame, os eventuais interessados deverão comprovar que atuam em ramo de atividade compatível com o objeto da licitação, bem como apresentar os documentos de habilitação solicitados no edital, nos termos do art. 62 da Lei Federal nº 14.133/2021.</w:t>
      </w:r>
    </w:p>
    <w:p>
      <w:pPr>
        <w:pStyle w:val="Normal"/>
        <w:suppressAutoHyphens w:val="false"/>
        <w:spacing w:lineRule="auto" w:line="360"/>
        <w:ind w:firstLine="720"/>
        <w:jc w:val="both"/>
        <w:rPr>
          <w:color w:val="000000"/>
          <w:sz w:val="24"/>
        </w:rPr>
      </w:pPr>
      <w:r>
        <w:rPr>
          <w:color w:val="000000"/>
          <w:sz w:val="24"/>
        </w:rPr>
        <w:t xml:space="preserve">Os serviços de corte grama e roçada deverão compreender, além da roçada propriamente dita, o recolhimento dos restos de vegetação gerados, bem como dos lixos revelados durante o processo de roçada. Ambos os serviços deverão fornecer todo o material necessário para a realização das atividades, incluindo ferramentas, equipamentos e insumos, sem ônus para o município. </w:t>
      </w:r>
    </w:p>
    <w:p>
      <w:pPr>
        <w:pStyle w:val="Normal"/>
        <w:suppressAutoHyphens w:val="false"/>
        <w:spacing w:lineRule="auto" w:line="360"/>
        <w:ind w:firstLine="720"/>
        <w:jc w:val="both"/>
        <w:rPr>
          <w:color w:val="000000"/>
          <w:sz w:val="24"/>
        </w:rPr>
      </w:pPr>
      <w:r>
        <w:rPr>
          <w:color w:val="000000"/>
          <w:sz w:val="24"/>
        </w:rPr>
        <w:t xml:space="preserve">O licitante vencedor deverá assumir a responsabilidade por todas as providências e obrigações estabelecidas na legislação específica quanto à qualidade e especificação dos materiais entregues, além de fornecer diretamente o objeto, não podendo transferir a responsabilidade por ele a outra empresa ou instituição de qualquer natureza. </w:t>
      </w:r>
    </w:p>
    <w:p>
      <w:pPr>
        <w:pStyle w:val="Default"/>
        <w:spacing w:lineRule="auto" w:line="360"/>
        <w:ind w:firstLine="720"/>
        <w:jc w:val="both"/>
        <w:rPr>
          <w:rFonts w:ascii="Times New Roman" w:hAnsi="Times New Roman" w:cs="Times New Roman"/>
        </w:rPr>
      </w:pPr>
      <w:r>
        <w:rPr>
          <w:rFonts w:cs="Times New Roman" w:ascii="Times New Roman" w:hAnsi="Times New Roman"/>
        </w:rPr>
        <w:t>Além disso, o fornecedor deverá cumprir todas as obrigações constantes no Edital, seus anexos e sua proposta, assumindo exclusivamente os riscos e as despesas decorrentes da boa e perfeita execução do objeto, e deverá ainda:</w:t>
      </w:r>
    </w:p>
    <w:p>
      <w:pPr>
        <w:pStyle w:val="Default"/>
        <w:numPr>
          <w:ilvl w:val="0"/>
          <w:numId w:val="8"/>
        </w:numPr>
        <w:spacing w:lineRule="auto" w:line="360"/>
        <w:jc w:val="both"/>
        <w:rPr>
          <w:rFonts w:ascii="Times New Roman" w:hAnsi="Times New Roman" w:cs="Times New Roman"/>
        </w:rPr>
      </w:pPr>
      <w:r>
        <w:rPr>
          <w:rFonts w:cs="Times New Roman" w:ascii="Times New Roman" w:hAnsi="Times New Roman"/>
        </w:rPr>
        <w:t>Iniciar a execução dos serviços de acordo com as necessidades do Município, iniciando os serviços no prazo de 24 horas contadas a partir da data da solicitação, sem a exigência de valor ou quantitativo mínimo, na quantidade e no local determinado pelo setor municipal requisitante, sem custos adicionais.</w:t>
      </w:r>
    </w:p>
    <w:p>
      <w:pPr>
        <w:pStyle w:val="Default"/>
        <w:numPr>
          <w:ilvl w:val="0"/>
          <w:numId w:val="8"/>
        </w:numPr>
        <w:spacing w:lineRule="auto" w:line="360"/>
        <w:jc w:val="both"/>
        <w:rPr>
          <w:rFonts w:ascii="Times New Roman" w:hAnsi="Times New Roman" w:cs="Times New Roman"/>
        </w:rPr>
      </w:pPr>
      <w:r>
        <w:rPr>
          <w:rFonts w:cs="Times New Roman" w:ascii="Times New Roman" w:hAnsi="Times New Roman"/>
        </w:rPr>
        <w:t>Responsabilizar-se por eventuais danos decorrentes de acidentes de veículos durante o deslocamento para a execução dos trabalhos contratados, sejam eles pessoais, materiais ou morais, inclusive os causados a terceiros, além de notificações por infrações ao Código de Trânsito Brasileiro.</w:t>
      </w:r>
    </w:p>
    <w:p>
      <w:pPr>
        <w:pStyle w:val="Default"/>
        <w:numPr>
          <w:ilvl w:val="0"/>
          <w:numId w:val="8"/>
        </w:numPr>
        <w:spacing w:lineRule="auto" w:line="360"/>
        <w:jc w:val="both"/>
        <w:rPr>
          <w:rFonts w:ascii="Times New Roman" w:hAnsi="Times New Roman" w:cs="Times New Roman"/>
        </w:rPr>
      </w:pPr>
      <w:r>
        <w:rPr>
          <w:rFonts w:cs="Times New Roman" w:ascii="Times New Roman" w:hAnsi="Times New Roman"/>
        </w:rPr>
        <w:t>Na execução do objeto, o fornecedor deverá fornecer e disponibilizar, em tempo integral, todos os EPIs (Equipamentos de Proteção Individual) e EPCs (Equipamentos de Proteção Coletiva), conforme a legislação vigente, garantindo que toda a equipe esteja devidamente orientada sobre o uso correto e indispensável desses equipamentos.</w:t>
      </w:r>
    </w:p>
    <w:p>
      <w:pPr>
        <w:pStyle w:val="Default"/>
        <w:numPr>
          <w:ilvl w:val="0"/>
          <w:numId w:val="8"/>
        </w:numPr>
        <w:spacing w:lineRule="auto" w:line="360"/>
        <w:jc w:val="both"/>
        <w:rPr>
          <w:rFonts w:ascii="Times New Roman" w:hAnsi="Times New Roman" w:cs="Times New Roman"/>
        </w:rPr>
      </w:pPr>
      <w:r>
        <w:rPr>
          <w:rFonts w:cs="Times New Roman" w:ascii="Times New Roman" w:hAnsi="Times New Roman"/>
        </w:rPr>
        <w:t>Na execução do objeto, os empregados da empresa vencedora deverão estar uniformizados, identificados e equipados com os EPIs necessários à perfeita execução do objeto, além de possuir as ferramentas adequadas.</w:t>
      </w:r>
    </w:p>
    <w:p>
      <w:pPr>
        <w:pStyle w:val="Default"/>
        <w:numPr>
          <w:ilvl w:val="0"/>
          <w:numId w:val="0"/>
        </w:numPr>
        <w:spacing w:lineRule="auto" w:line="360"/>
        <w:ind w:hanging="0" w:left="720"/>
        <w:jc w:val="both"/>
        <w:rPr>
          <w:rFonts w:ascii="Times New Roman" w:hAnsi="Times New Roman" w:cs="Times New Roman"/>
        </w:rPr>
      </w:pPr>
      <w:r>
        <w:rPr/>
      </w:r>
    </w:p>
    <w:p>
      <w:pPr>
        <w:pStyle w:val="Default"/>
        <w:rPr>
          <w:rFonts w:ascii="Times New Roman" w:hAnsi="Times New Roman" w:cs="Times New Roman"/>
        </w:rPr>
      </w:pPr>
      <w:r>
        <w:rPr>
          <w:rFonts w:cs="Times New Roman" w:ascii="Times New Roman" w:hAnsi="Times New Roman"/>
          <w:b/>
        </w:rPr>
        <w:t xml:space="preserve">4.2 Fiscalização: </w:t>
      </w:r>
    </w:p>
    <w:p>
      <w:pPr>
        <w:pStyle w:val="Default"/>
        <w:spacing w:lineRule="auto" w:line="360"/>
        <w:rPr>
          <w:rFonts w:ascii="Times New Roman" w:hAnsi="Times New Roman" w:cs="Times New Roman"/>
        </w:rPr>
      </w:pPr>
      <w:r>
        <w:rPr>
          <w:rFonts w:cs="Times New Roman" w:ascii="Times New Roman" w:hAnsi="Times New Roman"/>
        </w:rPr>
        <w:tab/>
      </w:r>
      <w:r>
        <w:rPr>
          <w:rFonts w:cs="Times New Roman" w:ascii="Times New Roman" w:hAnsi="Times New Roman"/>
        </w:rPr>
        <w:t>A execução do contrato deverá ser acompanhada e fiscalizada pelos servidores Alexandre Paz Zanetti (CPF: 971.***.***-82)  e Marcel Junqueira dos Santos (CPF: 969.***.***-72).</w:t>
      </w:r>
    </w:p>
    <w:p>
      <w:pPr>
        <w:pStyle w:val="Default"/>
        <w:spacing w:lineRule="auto" w:line="360"/>
        <w:rPr>
          <w:rFonts w:ascii="Times New Roman" w:hAnsi="Times New Roman" w:cs="Times New Roman"/>
        </w:rPr>
      </w:pPr>
      <w:r>
        <w:rPr/>
      </w:r>
    </w:p>
    <w:p>
      <w:pPr>
        <w:pStyle w:val="Default"/>
        <w:rPr>
          <w:rFonts w:ascii="Times New Roman" w:hAnsi="Times New Roman" w:cs="Times New Roman"/>
        </w:rPr>
      </w:pPr>
      <w:r>
        <w:rPr>
          <w:rFonts w:cs="Times New Roman" w:ascii="Times New Roman" w:hAnsi="Times New Roman"/>
          <w:b/>
        </w:rPr>
        <w:t xml:space="preserve">4.3. Do prazo de solicitação e do reajuste: </w:t>
      </w:r>
    </w:p>
    <w:p>
      <w:pPr>
        <w:pStyle w:val="Default"/>
        <w:spacing w:lineRule="auto" w:line="360"/>
        <w:ind w:firstLine="720"/>
        <w:jc w:val="both"/>
        <w:rPr>
          <w:rFonts w:ascii="Times New Roman" w:hAnsi="Times New Roman" w:cs="Times New Roman"/>
        </w:rPr>
      </w:pPr>
      <w:r>
        <w:rPr>
          <w:rFonts w:cs="Times New Roman" w:ascii="Times New Roman" w:hAnsi="Times New Roman"/>
        </w:rPr>
        <w:t>Iniciar a execução dos serviços de acordo com as necessidades do Município, iniciando os serviços no prazo de 24 horas contadas a partir da data da solicitação, sem a exigência de valor ou quantitativo mínimo, na quantidade e no local determinado pelo setor municipal requisitante, sem custos adicionais.</w:t>
      </w:r>
    </w:p>
    <w:p>
      <w:pPr>
        <w:pStyle w:val="Default"/>
        <w:spacing w:lineRule="auto" w:line="360"/>
        <w:ind w:firstLine="720"/>
        <w:jc w:val="both"/>
        <w:rPr>
          <w:rFonts w:ascii="Times New Roman" w:hAnsi="Times New Roman" w:cs="Times New Roman"/>
        </w:rPr>
      </w:pPr>
      <w:r>
        <w:rPr>
          <w:rFonts w:cs="Times New Roman" w:ascii="Times New Roman" w:hAnsi="Times New Roman"/>
        </w:rPr>
        <w:t>Os preços unitários serão registrados neste processo e terão validade pelo prazo de 12 (doze) meses a contar da data da assinatura da Ata de Registro de Preços, para posterior realização do serviço, conforme necessidade desta Prefeitura, podendo ser prorrogado nos termos do art. 105, 106 e 107 da Lei Federal nº 14.133/2021.</w:t>
      </w:r>
    </w:p>
    <w:p>
      <w:pPr>
        <w:pStyle w:val="Default"/>
        <w:spacing w:lineRule="auto" w:line="360"/>
        <w:ind w:firstLine="720"/>
        <w:jc w:val="both"/>
        <w:rPr>
          <w:rFonts w:ascii="Times New Roman" w:hAnsi="Times New Roman" w:cs="Times New Roman"/>
        </w:rPr>
      </w:pPr>
      <w:r>
        <w:rPr>
          <w:rFonts w:cs="Times New Roman" w:ascii="Times New Roman" w:hAnsi="Times New Roman"/>
        </w:rPr>
        <w:t xml:space="preserve">Ocorrendo desequilíbrio econômico-financeiro do Contrato, a Contratante poderá restabelecer a relação pactuada, nos termos do art. 124, Inc, II, letra d, da Lei Federal nº 14.333/21, mediante comprovação documental e requerimento expresso da Contratada, que no caso de aprovado pela Administração deverá se constituir em documento que será juntado aos autos do processo.  </w: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b/>
        </w:rPr>
        <w:t xml:space="preserve">5. DOCUMENTAÇÃO NECESSÁRIA: </w:t>
      </w:r>
    </w:p>
    <w:p>
      <w:pPr>
        <w:pStyle w:val="Default"/>
        <w:spacing w:lineRule="auto" w:line="360"/>
        <w:jc w:val="both"/>
        <w:rPr>
          <w:rFonts w:ascii="Times New Roman" w:hAnsi="Times New Roman" w:cs="Times New Roman"/>
        </w:rPr>
      </w:pPr>
      <w:r>
        <w:rPr>
          <w:rFonts w:cs="Times New Roman" w:ascii="Times New Roman" w:hAnsi="Times New Roman"/>
        </w:rPr>
        <w:t xml:space="preserve">5.1. Serão exigidos para participação os documentos descritos abaixo e todos os que por ventura não estiverem neste termo de referência e solicitados pelo setor responsável pelo controle de regularidades. </w:t>
      </w:r>
    </w:p>
    <w:p>
      <w:pPr>
        <w:pStyle w:val="Default"/>
        <w:spacing w:lineRule="auto" w:line="360"/>
        <w:jc w:val="both"/>
        <w:rPr>
          <w:rFonts w:ascii="Times New Roman" w:hAnsi="Times New Roman" w:cs="Times New Roman"/>
        </w:rPr>
      </w:pPr>
      <w:r>
        <w:rPr>
          <w:rFonts w:cs="Times New Roman" w:ascii="Times New Roman" w:hAnsi="Times New Roman"/>
        </w:rPr>
        <w:t xml:space="preserve">5.1.1. A licitante deverá apresentar as seguintes declarações/documentações: Habilitação referente à regularidade fiscal e trabalhista: </w:t>
      </w:r>
    </w:p>
    <w:p>
      <w:pPr>
        <w:pStyle w:val="Default"/>
        <w:spacing w:lineRule="auto" w:line="360"/>
        <w:jc w:val="both"/>
        <w:rPr>
          <w:rFonts w:ascii="Times New Roman" w:hAnsi="Times New Roman" w:cs="Times New Roman"/>
        </w:rPr>
      </w:pPr>
      <w:r>
        <w:rPr>
          <w:rFonts w:cs="Times New Roman" w:ascii="Times New Roman" w:hAnsi="Times New Roman"/>
        </w:rPr>
        <w:t>a) Prova de inscrição no Cadastro Nacional de Pessoas Jurídicas conforme o caso.</w:t>
      </w:r>
    </w:p>
    <w:p>
      <w:pPr>
        <w:pStyle w:val="Default"/>
        <w:spacing w:lineRule="auto" w:line="360"/>
        <w:jc w:val="both"/>
        <w:rPr>
          <w:rFonts w:ascii="Times New Roman" w:hAnsi="Times New Roman" w:cs="Times New Roman"/>
        </w:rPr>
      </w:pPr>
      <w:r>
        <w:rPr>
          <w:rFonts w:cs="Times New Roman" w:ascii="Times New Roman" w:hAnsi="Times New Roman"/>
        </w:rPr>
        <w:t>b) Prova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w:t>
      </w:r>
    </w:p>
    <w:p>
      <w:pPr>
        <w:pStyle w:val="Default"/>
        <w:spacing w:lineRule="auto" w:line="360"/>
        <w:rPr>
          <w:rFonts w:ascii="Times New Roman" w:hAnsi="Times New Roman" w:cs="Times New Roman"/>
        </w:rPr>
      </w:pPr>
      <w:r>
        <w:rPr>
          <w:rFonts w:cs="Times New Roman" w:ascii="Times New Roman" w:hAnsi="Times New Roman"/>
        </w:rPr>
        <w:t>c) Prova de regularidade com a Fazenda Estadual do Rio Grande do Sul e do domicílio ou sede do fornecedor, relativa à atividade em cujo exercício contrata ou concorre.</w:t>
      </w:r>
    </w:p>
    <w:p>
      <w:pPr>
        <w:pStyle w:val="Default"/>
        <w:spacing w:lineRule="auto" w:line="360"/>
        <w:jc w:val="both"/>
        <w:rPr>
          <w:rFonts w:ascii="Times New Roman" w:hAnsi="Times New Roman" w:cs="Times New Roman"/>
        </w:rPr>
      </w:pPr>
      <w:r>
        <w:rPr>
          <w:rFonts w:cs="Times New Roman" w:ascii="Times New Roman" w:hAnsi="Times New Roman"/>
        </w:rPr>
        <w:t>d) Prova de regularidade com a Fazenda Municipal do domicílio ou sede do fornecedor, relativa à atividade em cujo exercício contrata ou concorre.</w:t>
      </w:r>
    </w:p>
    <w:p>
      <w:pPr>
        <w:pStyle w:val="Default"/>
        <w:spacing w:lineRule="auto" w:line="360"/>
        <w:jc w:val="both"/>
        <w:rPr>
          <w:rFonts w:ascii="Times New Roman" w:hAnsi="Times New Roman" w:cs="Times New Roman"/>
        </w:rPr>
      </w:pPr>
      <w:r>
        <w:rPr>
          <w:rFonts w:cs="Times New Roman" w:ascii="Times New Roman" w:hAnsi="Times New Roman"/>
        </w:rPr>
        <w:t>e) Certificado de regularidade do Fundo de Garantia por Tempo de Serviço (FGTS) expedido pela Caixa Econômica Federal.</w:t>
      </w:r>
    </w:p>
    <w:p>
      <w:pPr>
        <w:pStyle w:val="Default"/>
        <w:spacing w:lineRule="auto" w:line="360"/>
        <w:jc w:val="both"/>
        <w:rPr>
          <w:rFonts w:ascii="Times New Roman" w:hAnsi="Times New Roman" w:cs="Times New Roman"/>
        </w:rPr>
      </w:pPr>
      <w:r>
        <w:rPr>
          <w:rFonts w:cs="Times New Roman" w:ascii="Times New Roman" w:hAnsi="Times New Roman"/>
        </w:rPr>
        <w:t xml:space="preserve">f) Prova de inexistência de débitos inadimplidos perante a Justiça do Trabalho, mediante a apresentação de Certidão Negativa (ou positiva com efeitos de negativa) de Débitos Trabalhistas (CNDT), emitida com base no art. 642-A da Consolidação das Leis do Trabalho, acrescentado pela Lei Federal nº 12.440/11 e na Resolução Administrativa 1.470/11 do Tribunal Superior do Trabalho. </w: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b/>
        </w:rPr>
        <w:t xml:space="preserve">6. DOS CRITÉRIOS DE SUSTENTABILIDADE </w:t>
      </w:r>
    </w:p>
    <w:p>
      <w:pPr>
        <w:pStyle w:val="Normal"/>
        <w:suppressAutoHyphens w:val="false"/>
        <w:spacing w:lineRule="auto" w:line="360"/>
        <w:jc w:val="both"/>
        <w:rPr>
          <w:sz w:val="24"/>
        </w:rPr>
      </w:pPr>
      <w:r>
        <w:rPr>
          <w:color w:val="000000"/>
          <w:sz w:val="24"/>
        </w:rPr>
        <w:tab/>
      </w:r>
      <w:r>
        <w:rPr>
          <w:sz w:val="24"/>
        </w:rPr>
        <w:t xml:space="preserve">Não há previsão de impacto ambiental resultante desta contratação. Todavia, caberá a futura contratada ações a serem adotadas como boas práticas na prestação dos serviços a serem desempenhados por intermédio de seus profissionais: </w:t>
      </w:r>
    </w:p>
    <w:p>
      <w:pPr>
        <w:pStyle w:val="ListParagraph"/>
        <w:numPr>
          <w:ilvl w:val="0"/>
          <w:numId w:val="9"/>
        </w:numPr>
        <w:spacing w:lineRule="auto" w:line="360"/>
        <w:rPr>
          <w:sz w:val="24"/>
          <w:szCs w:val="24"/>
        </w:rPr>
      </w:pPr>
      <w:r>
        <w:rPr>
          <w:sz w:val="24"/>
          <w:szCs w:val="24"/>
        </w:rPr>
        <w:t>A contratada deverá orientar seus colaboradores quanto à forma ambientalmente adequada para o descarte dos referidos resíduos gerados sejam descartados de forma sustentável.</w:t>
      </w:r>
    </w:p>
    <w:p>
      <w:pPr>
        <w:pStyle w:val="ListParagraph"/>
        <w:numPr>
          <w:ilvl w:val="0"/>
          <w:numId w:val="9"/>
        </w:numPr>
        <w:spacing w:lineRule="auto" w:line="360"/>
        <w:ind w:hanging="357" w:left="714"/>
        <w:rPr>
          <w:sz w:val="24"/>
          <w:szCs w:val="24"/>
        </w:rPr>
      </w:pPr>
      <w:r>
        <w:rPr>
          <w:sz w:val="24"/>
          <w:szCs w:val="24"/>
        </w:rPr>
        <w:t>Devem ser verificados, com o respectivo cuidado, conforme as legislações vigentes atualmente, por parte da contratada, para fins de minimizar os impactos ambientais.</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b/>
        </w:rPr>
        <w:t xml:space="preserve">7. DO MODELO DE EXECUÇÃO CONTRATUAL </w:t>
      </w:r>
    </w:p>
    <w:p>
      <w:pPr>
        <w:pStyle w:val="Default"/>
        <w:spacing w:lineRule="auto" w:line="360"/>
        <w:jc w:val="both"/>
        <w:rPr>
          <w:rFonts w:ascii="Times New Roman" w:hAnsi="Times New Roman" w:cs="Times New Roman"/>
        </w:rPr>
      </w:pPr>
      <w:r>
        <w:rPr>
          <w:rFonts w:cs="Times New Roman" w:ascii="Times New Roman" w:hAnsi="Times New Roman"/>
        </w:rPr>
        <w:tab/>
        <w:t xml:space="preserve">A nota de empenho será o contrato com base no art. 95, Inciso I e II da Lei Federal nº. 14133/2021. </w:t>
      </w:r>
    </w:p>
    <w:p>
      <w:pPr>
        <w:pStyle w:val="Default"/>
        <w:rPr>
          <w:rFonts w:ascii="Times New Roman" w:hAnsi="Times New Roman" w:cs="Times New Roman"/>
        </w:rPr>
      </w:pPr>
      <w:r>
        <w:rPr>
          <w:rFonts w:cs="Times New Roman" w:ascii="Times New Roman" w:hAnsi="Times New Roman"/>
          <w:b/>
        </w:rPr>
        <w:t xml:space="preserve">7.1. Do prazo </w:t>
      </w:r>
    </w:p>
    <w:p>
      <w:pPr>
        <w:pStyle w:val="Default"/>
        <w:spacing w:lineRule="auto" w:line="360"/>
        <w:ind w:firstLine="720"/>
        <w:jc w:val="both"/>
        <w:rPr>
          <w:rFonts w:ascii="Times New Roman" w:hAnsi="Times New Roman" w:cs="Times New Roman"/>
        </w:rPr>
      </w:pPr>
      <w:r>
        <w:rPr>
          <w:rFonts w:cs="Times New Roman" w:ascii="Times New Roman" w:hAnsi="Times New Roman"/>
        </w:rPr>
        <w:t>Iniciar a execução dos serviços de acordo com as necessidades do Município, iniciando os serviços no prazo de 24 horas contadas a partir da data da solicitação, sem a exigência de valor ou quantitativo mínimo, na quantidade e no local determinado pelo setor municipal requisitante, sem custos adicionais.</w:t>
      </w:r>
    </w:p>
    <w:p>
      <w:pPr>
        <w:pStyle w:val="Default"/>
        <w:spacing w:lineRule="auto" w:line="360"/>
        <w:jc w:val="both"/>
        <w:rPr>
          <w:rFonts w:ascii="Times New Roman" w:hAnsi="Times New Roman" w:cs="Times New Roman"/>
        </w:rPr>
      </w:pPr>
      <w:r>
        <w:rPr>
          <w:rFonts w:cs="Times New Roman" w:ascii="Times New Roman" w:hAnsi="Times New Roman"/>
        </w:rPr>
        <w:tab/>
        <w:t>Os serviços serão recebidos provisoriamente pelo responsável pelo acompanhamento e fiscalização do processo, para efeito posterior verificação de sua conformidade com as especificações constantes neste Termo de Referência e na proposta. Os serviços poderão ser rejeitados, no todo ou em parte, quando em desacordo com as especificações constantes neste Termo de Referência e na proposta, devendo serem adequados os apontamentos necessários em um prazo de no máximo 48 horas da notificação pelos responsáveis pelo acompanhamento, sem prejuízo da aplicação das penalidades.</w:t>
      </w:r>
    </w:p>
    <w:p>
      <w:pPr>
        <w:pStyle w:val="Default"/>
        <w:spacing w:lineRule="auto" w:line="360"/>
        <w:jc w:val="both"/>
        <w:rPr>
          <w:rFonts w:ascii="Times New Roman" w:hAnsi="Times New Roman" w:cs="Times New Roman"/>
        </w:rPr>
      </w:pPr>
      <w:r>
        <w:rPr>
          <w:rFonts w:cs="Times New Roman" w:ascii="Times New Roman" w:hAnsi="Times New Roman"/>
        </w:rPr>
        <w:tab/>
        <w:t>Os preços unitários serão registrados neste processo e terão validade pelo prazo de 12 (doze) meses a contar da data da assinatura da Ata de Registro de Preços, para posterior realização do serviço, conforme necessidade desta Prefeitura, podendo ser prorrogado nos termos do art. 105, 106 e 107 da Lei Federal nº 14.133/2021.</w:t>
      </w:r>
    </w:p>
    <w:p>
      <w:pPr>
        <w:pStyle w:val="Default"/>
        <w:rPr>
          <w:rFonts w:ascii="Times New Roman" w:hAnsi="Times New Roman" w:cs="Times New Roman"/>
        </w:rPr>
      </w:pPr>
      <w:r>
        <w:rPr>
          <w:rFonts w:cs="Times New Roman" w:ascii="Times New Roman" w:hAnsi="Times New Roman"/>
          <w:b/>
        </w:rPr>
        <w:t xml:space="preserve">7.2. Do local </w:t>
      </w:r>
    </w:p>
    <w:p>
      <w:pPr>
        <w:pStyle w:val="Default"/>
        <w:spacing w:lineRule="auto" w:line="360"/>
        <w:jc w:val="both"/>
        <w:rPr>
          <w:rFonts w:ascii="Times New Roman" w:hAnsi="Times New Roman" w:cs="Times New Roman"/>
        </w:rPr>
      </w:pPr>
      <w:r>
        <w:rPr>
          <w:rFonts w:cs="Times New Roman" w:ascii="Times New Roman" w:hAnsi="Times New Roman"/>
          <w:b/>
        </w:rPr>
        <w:tab/>
      </w:r>
      <w:r>
        <w:rPr>
          <w:rFonts w:cs="Times New Roman" w:ascii="Times New Roman" w:hAnsi="Times New Roman"/>
        </w:rPr>
        <w:t xml:space="preserve">A prestação dos serviços será indicada pela Coordenação Administrativa e Coordenação do Conselho Municipal do Desporto, de acordo com a necessidade e planejamento da Secretaria de Município da Educação, Esportes e Lazer (SMEEL).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
        </w:rPr>
        <w:t xml:space="preserve">7.3. Das condições do pagamento </w:t>
      </w:r>
    </w:p>
    <w:p>
      <w:pPr>
        <w:pStyle w:val="Default"/>
        <w:spacing w:lineRule="auto" w:line="360"/>
        <w:jc w:val="both"/>
        <w:rPr>
          <w:rFonts w:ascii="Times New Roman" w:hAnsi="Times New Roman" w:cs="Times New Roman"/>
        </w:rPr>
      </w:pPr>
      <w:r>
        <w:rPr>
          <w:rFonts w:cs="Times New Roman" w:ascii="Times New Roman" w:hAnsi="Times New Roman"/>
        </w:rPr>
        <w:t xml:space="preserve">7.1.1. O pagamento será efetuado em 30 (trinta) dias, contados da apresentação da nota fiscal fatura. </w:t>
      </w:r>
    </w:p>
    <w:p>
      <w:pPr>
        <w:pStyle w:val="Default"/>
        <w:spacing w:lineRule="auto" w:line="360"/>
        <w:jc w:val="both"/>
        <w:rPr>
          <w:rFonts w:ascii="Times New Roman" w:hAnsi="Times New Roman" w:cs="Times New Roman"/>
        </w:rPr>
      </w:pPr>
      <w:r>
        <w:rPr>
          <w:rFonts w:cs="Times New Roman" w:ascii="Times New Roman" w:hAnsi="Times New Roman"/>
        </w:rPr>
        <w:t xml:space="preserve">7.1.2. As notas fiscais faturas que apresentarem incorreções serão devolvidas à Adjudicatária e seu vencimento ocorrerá 30 (trinta) dias após a data de sua apresentação válida. </w:t>
      </w:r>
    </w:p>
    <w:p>
      <w:pPr>
        <w:pStyle w:val="Default"/>
        <w:spacing w:lineRule="auto" w:line="360"/>
        <w:jc w:val="both"/>
        <w:rPr>
          <w:rFonts w:ascii="Times New Roman" w:hAnsi="Times New Roman" w:cs="Times New Roman"/>
        </w:rPr>
      </w:pPr>
      <w:r>
        <w:rPr>
          <w:rFonts w:cs="Times New Roman" w:ascii="Times New Roman" w:hAnsi="Times New Roman"/>
        </w:rPr>
        <w:t xml:space="preserve">7.1.3. O pagamento será feito mediante crédito em conta corrente em nome da adjudicatária em banco por ela indicado. </w:t>
      </w:r>
    </w:p>
    <w:p>
      <w:pPr>
        <w:pStyle w:val="Default"/>
        <w:rPr>
          <w:rFonts w:ascii="Times New Roman" w:hAnsi="Times New Roman" w:cs="Times New Roman"/>
        </w:rPr>
      </w:pPr>
      <w:r>
        <w:rPr>
          <w:rFonts w:cs="Times New Roman" w:ascii="Times New Roman" w:hAnsi="Times New Roman"/>
          <w:b/>
        </w:rPr>
        <w:t xml:space="preserve">7.5. Da Dotação Orçamentária </w:t>
      </w:r>
    </w:p>
    <w:p>
      <w:pPr>
        <w:pStyle w:val="Default"/>
        <w:spacing w:lineRule="auto" w:line="360"/>
        <w:jc w:val="both"/>
        <w:rPr>
          <w:rFonts w:ascii="Times New Roman" w:hAnsi="Times New Roman" w:cs="Times New Roman"/>
        </w:rPr>
      </w:pPr>
      <w:r>
        <w:rPr>
          <w:rFonts w:cs="Times New Roman" w:ascii="Times New Roman" w:hAnsi="Times New Roman"/>
        </w:rPr>
        <w:tab/>
        <w:t xml:space="preserve">Para as despesas decorrentes da licitação (registro de preços), serão utilizadas dotações inseridas na solicitação de empenho. </w:t>
      </w:r>
    </w:p>
    <w:p>
      <w:pPr>
        <w:pStyle w:val="Default"/>
        <w:jc w:val="both"/>
        <w:rPr>
          <w:rFonts w:ascii="Times New Roman" w:hAnsi="Times New Roman" w:cs="Times New Roman"/>
          <w:b/>
        </w:rPr>
      </w:pPr>
      <w:r>
        <w:rPr>
          <w:rFonts w:cs="Times New Roman" w:ascii="Times New Roman" w:hAnsi="Times New Roman"/>
          <w:b/>
        </w:rPr>
      </w:r>
    </w:p>
    <w:p>
      <w:pPr>
        <w:pStyle w:val="Default"/>
        <w:jc w:val="both"/>
        <w:rPr>
          <w:rFonts w:ascii="Times New Roman" w:hAnsi="Times New Roman" w:cs="Times New Roman"/>
        </w:rPr>
      </w:pPr>
      <w:r>
        <w:rPr>
          <w:rFonts w:cs="Times New Roman" w:ascii="Times New Roman" w:hAnsi="Times New Roman"/>
          <w:b/>
        </w:rPr>
        <w:t xml:space="preserve">8. DA SUBCONTRATAÇÃO </w:t>
      </w:r>
    </w:p>
    <w:p>
      <w:pPr>
        <w:pStyle w:val="Textoprformatado"/>
        <w:jc w:val="both"/>
        <w:rPr>
          <w:rFonts w:ascii="Times New Roman" w:hAnsi="Times New Roman" w:cs="Times New Roman"/>
          <w:sz w:val="24"/>
          <w:szCs w:val="24"/>
        </w:rPr>
      </w:pPr>
      <w:r>
        <w:rPr>
          <w:rFonts w:cs="Times New Roman" w:ascii="Times New Roman" w:hAnsi="Times New Roman"/>
          <w:color w:val="000000"/>
          <w:sz w:val="24"/>
          <w:szCs w:val="24"/>
        </w:rPr>
        <w:tab/>
      </w:r>
      <w:r>
        <w:rPr>
          <w:rFonts w:eastAsia="Times New Roman" w:cs="Times New Roman" w:ascii="Times New Roman" w:hAnsi="Times New Roman"/>
          <w:sz w:val="24"/>
          <w:szCs w:val="24"/>
        </w:rPr>
        <w:t>É permitida a subcontratação ou transferência total ou parcial do objeto.</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b/>
        </w:rPr>
        <w:t xml:space="preserve">9. OBRIGAÇÕES DA CONTRATADA </w:t>
      </w:r>
    </w:p>
    <w:p>
      <w:pPr>
        <w:pStyle w:val="Default"/>
        <w:spacing w:lineRule="auto" w:line="360"/>
        <w:jc w:val="both"/>
        <w:rPr>
          <w:rFonts w:ascii="Times New Roman" w:hAnsi="Times New Roman" w:cs="Times New Roman"/>
        </w:rPr>
      </w:pPr>
      <w:r>
        <w:rPr>
          <w:rFonts w:cs="Times New Roman" w:ascii="Times New Roman" w:hAnsi="Times New Roman"/>
        </w:rPr>
        <w:t>9.1. Entregar os serviços pertinentes ao objeto com pontualidade, de acordo com as orientações fornecidas pela Coordenação Administrativa e Coordenação do Conselho Municipal do Desporto.</w:t>
      </w:r>
    </w:p>
    <w:p>
      <w:pPr>
        <w:pStyle w:val="Default"/>
        <w:spacing w:lineRule="auto" w:line="360"/>
        <w:jc w:val="both"/>
        <w:rPr>
          <w:rFonts w:ascii="Times New Roman" w:hAnsi="Times New Roman" w:cs="Times New Roman"/>
        </w:rPr>
      </w:pPr>
      <w:r>
        <w:rPr>
          <w:rFonts w:cs="Times New Roman" w:ascii="Times New Roman" w:hAnsi="Times New Roman"/>
        </w:rPr>
        <w:t xml:space="preserve">9.2. Responsabilizar-se pela execução do objeto, respondendo civil e criminalmente por todos os danos, perdas e prejuízos. </w:t>
      </w:r>
    </w:p>
    <w:p>
      <w:pPr>
        <w:pStyle w:val="Default"/>
        <w:spacing w:lineRule="auto" w:line="360"/>
        <w:jc w:val="both"/>
        <w:rPr>
          <w:rFonts w:ascii="Times New Roman" w:hAnsi="Times New Roman" w:cs="Times New Roman"/>
        </w:rPr>
      </w:pPr>
      <w:r>
        <w:rPr>
          <w:rFonts w:cs="Times New Roman" w:ascii="Times New Roman" w:hAnsi="Times New Roman"/>
        </w:rPr>
        <w:t>9.3. Manter as condições de habilitação e qualificação exigidas durante toda a vigência contratual, informando a Contratante à ocorrência de qualquer alteração nas referidas condições.</w:t>
      </w:r>
    </w:p>
    <w:p>
      <w:pPr>
        <w:pStyle w:val="Default"/>
        <w:spacing w:lineRule="auto" w:line="360"/>
        <w:jc w:val="both"/>
        <w:rPr>
          <w:rFonts w:ascii="Times New Roman" w:hAnsi="Times New Roman" w:cs="Times New Roman"/>
        </w:rPr>
      </w:pPr>
      <w:r>
        <w:rPr>
          <w:rFonts w:cs="Times New Roman" w:ascii="Times New Roman" w:hAnsi="Times New Roman"/>
        </w:rPr>
        <w:t xml:space="preserve">9.4. Será por conta da contratada as despesas com todos os tributos incidentes, taxas, impostos, contribuições, fretes, carretos e despesa com deslocamento, para a entrega do objeto contratado até os locais determinados para a sua entrega. </w:t>
      </w:r>
    </w:p>
    <w:p>
      <w:pPr>
        <w:pStyle w:val="Default"/>
        <w:spacing w:lineRule="auto" w:line="360"/>
        <w:jc w:val="both"/>
        <w:rPr>
          <w:rFonts w:ascii="Times New Roman" w:hAnsi="Times New Roman" w:cs="Times New Roman"/>
        </w:rPr>
      </w:pPr>
      <w:r>
        <w:rPr>
          <w:rFonts w:cs="Times New Roman" w:ascii="Times New Roman" w:hAnsi="Times New Roman"/>
        </w:rPr>
        <w:t>9.5. Certificar-se, preliminarmente, de todas as condições exigidas no Edital, não sendo levada em consideração qualquer argumentação posterior de desconhecimento.</w:t>
      </w:r>
    </w:p>
    <w:p>
      <w:pPr>
        <w:pStyle w:val="Default"/>
        <w:spacing w:lineRule="auto" w:line="360"/>
        <w:jc w:val="both"/>
        <w:rPr>
          <w:rFonts w:ascii="Times New Roman" w:hAnsi="Times New Roman" w:cs="Times New Roman"/>
        </w:rPr>
      </w:pPr>
      <w:r>
        <w:rPr>
          <w:rFonts w:cs="Times New Roman" w:ascii="Times New Roman" w:hAnsi="Times New Roman"/>
        </w:rPr>
        <w:t>9.6. Comunicar, imediatamente e por escrito, a Administração Municipal, qualquer anormalidade verificada, inclusive de ordem funcional, para que sejam adotadas as providências de regularização necessária.</w:t>
      </w:r>
    </w:p>
    <w:p>
      <w:pPr>
        <w:pStyle w:val="Default"/>
        <w:spacing w:lineRule="auto" w:line="360"/>
        <w:jc w:val="both"/>
        <w:rPr>
          <w:rFonts w:ascii="Times New Roman" w:hAnsi="Times New Roman" w:cs="Times New Roman"/>
        </w:rPr>
      </w:pPr>
      <w:r>
        <w:rPr>
          <w:rFonts w:cs="Times New Roman" w:ascii="Times New Roman" w:hAnsi="Times New Roman"/>
        </w:rPr>
        <w:t>9.7. Atender com prontidão as reclamações por parte do município no que se refere ao objeto da licitação.</w:t>
      </w:r>
    </w:p>
    <w:p>
      <w:pPr>
        <w:pStyle w:val="Default"/>
        <w:rPr>
          <w:rFonts w:ascii="Times New Roman" w:hAnsi="Times New Roman" w:cs="Times New Roman"/>
          <w:b/>
        </w:rPr>
      </w:pPr>
      <w:r>
        <w:rPr>
          <w:rFonts w:cs="Times New Roman" w:ascii="Times New Roman" w:hAnsi="Times New Roman"/>
          <w:b/>
        </w:rPr>
      </w:r>
    </w:p>
    <w:p>
      <w:pPr>
        <w:pStyle w:val="Default"/>
        <w:rPr>
          <w:rFonts w:ascii="Times New Roman" w:hAnsi="Times New Roman" w:cs="Times New Roman"/>
        </w:rPr>
      </w:pPr>
      <w:r>
        <w:rPr>
          <w:rFonts w:cs="Times New Roman" w:ascii="Times New Roman" w:hAnsi="Times New Roman"/>
          <w:b/>
        </w:rPr>
        <w:t xml:space="preserve">10. DAS OBRIGAÇÕES DO CONTRATANTE </w:t>
      </w:r>
    </w:p>
    <w:p>
      <w:pPr>
        <w:pStyle w:val="Default"/>
        <w:spacing w:lineRule="auto" w:line="360"/>
        <w:jc w:val="both"/>
        <w:rPr>
          <w:rFonts w:ascii="Times New Roman" w:hAnsi="Times New Roman" w:cs="Times New Roman"/>
        </w:rPr>
      </w:pPr>
      <w:r>
        <w:rPr>
          <w:rFonts w:cs="Times New Roman" w:ascii="Times New Roman" w:hAnsi="Times New Roman"/>
        </w:rPr>
        <w:t xml:space="preserve">10.1. Cumprir com todos os compromissos financeiros assumidos com a Contratada. 10.2. Comunicar prontamente a Contratada, qualquer anormalidade no objeto deste contrato, podendo recusar o recebimento do serviço, caso não esteja de acordo com as especificações e condições estabelecidas, no termo de responsabilidade. </w:t>
      </w:r>
    </w:p>
    <w:p>
      <w:pPr>
        <w:pStyle w:val="Default"/>
        <w:spacing w:lineRule="auto" w:line="360"/>
        <w:jc w:val="both"/>
        <w:rPr>
          <w:rFonts w:ascii="Times New Roman" w:hAnsi="Times New Roman" w:cs="Times New Roman"/>
        </w:rPr>
      </w:pPr>
      <w:r>
        <w:rPr>
          <w:rFonts w:cs="Times New Roman" w:ascii="Times New Roman" w:hAnsi="Times New Roman"/>
        </w:rPr>
        <w:t xml:space="preserve">10.3. Aplicar as sanções administrativas contratuais pertinentes, em caso de inadimplemento. </w:t>
      </w:r>
    </w:p>
    <w:p>
      <w:pPr>
        <w:pStyle w:val="Default"/>
        <w:spacing w:lineRule="auto" w:line="360"/>
        <w:jc w:val="both"/>
        <w:rPr>
          <w:rFonts w:ascii="Times New Roman" w:hAnsi="Times New Roman" w:cs="Times New Roman"/>
        </w:rPr>
      </w:pPr>
      <w:r>
        <w:rPr>
          <w:rFonts w:cs="Times New Roman" w:ascii="Times New Roman" w:hAnsi="Times New Roman"/>
        </w:rPr>
        <w:t xml:space="preserve">10.4. Designar servidor responsável para a verificação da efetiva entrega dos serviços no local indicado, sendo que este deverá verificar a conformidade do objeto com o solicitado na Nota de Empenho.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
        </w:rPr>
        <w:t xml:space="preserve">11. DA GARANTIA DE EXECUÇÃO CONTRATUAL </w:t>
      </w:r>
    </w:p>
    <w:p>
      <w:pPr>
        <w:pStyle w:val="Default"/>
        <w:spacing w:lineRule="auto" w:line="360"/>
        <w:jc w:val="both"/>
        <w:rPr>
          <w:rFonts w:ascii="Times New Roman" w:hAnsi="Times New Roman" w:cs="Times New Roman"/>
        </w:rPr>
      </w:pPr>
      <w:r>
        <w:rPr>
          <w:rFonts w:cs="Times New Roman" w:ascii="Times New Roman" w:hAnsi="Times New Roman"/>
        </w:rPr>
        <w:tab/>
        <w:t xml:space="preserve">O atendimento dos serviços será solicitado pela Secretaria competente através da emissão da Nota de Empenho. </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
        </w:rPr>
        <w:t xml:space="preserve">12. DAS SANÇÕES ADMINISTRATIVAS </w:t>
      </w:r>
    </w:p>
    <w:p>
      <w:pPr>
        <w:pStyle w:val="Default"/>
        <w:spacing w:lineRule="auto" w:line="360"/>
        <w:jc w:val="both"/>
        <w:rPr>
          <w:rFonts w:ascii="Times New Roman" w:hAnsi="Times New Roman" w:cs="Times New Roman"/>
        </w:rPr>
      </w:pPr>
      <w:r>
        <w:rPr>
          <w:rFonts w:cs="Times New Roman" w:ascii="Times New Roman" w:hAnsi="Times New Roman"/>
        </w:rPr>
        <w:tab/>
        <w:t>A empresa especializada que cometer qualquer conduta que infrinja as condições e prazos estabelecidos no instrumento, em contrato ou na legislação atinente à execução do objeto ficará sujeita, sem prejuízo da responsabilidade civil e criminal, conforme disposto na Lei Federal nº 14.133/21, às sanções a seguir estabelecidas, aplicáveis após regular Processo Administrativo de Especial em conformidade com o Decreto Municipal nº 5.215/23 e alterações.</w:t>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b/>
        </w:rPr>
        <w:t xml:space="preserve">13. ADVERTÊNCIA ESCRITA </w:t>
      </w:r>
    </w:p>
    <w:p>
      <w:pPr>
        <w:pStyle w:val="Default"/>
        <w:spacing w:lineRule="auto" w:line="360"/>
        <w:jc w:val="both"/>
        <w:rPr>
          <w:rFonts w:ascii="Times New Roman" w:hAnsi="Times New Roman" w:cs="Times New Roman"/>
        </w:rPr>
      </w:pPr>
      <w:r>
        <w:rPr>
          <w:rFonts w:cs="Times New Roman" w:ascii="Times New Roman" w:hAnsi="Times New Roman"/>
        </w:rPr>
        <w:tab/>
        <w:t xml:space="preserve">Em razão de falhas que não caibam a aplicação de sanção mais grave em virtude de serem corrigidas no prazo estipulado pela fiscalização. </w:t>
      </w:r>
    </w:p>
    <w:p>
      <w:pPr>
        <w:pStyle w:val="Default"/>
        <w:spacing w:lineRule="auto" w:line="360"/>
        <w:jc w:val="both"/>
        <w:rPr>
          <w:rFonts w:ascii="Times New Roman" w:hAnsi="Times New Roman" w:cs="Times New Roman"/>
        </w:rPr>
      </w:pPr>
      <w:r>
        <w:rPr>
          <w:rFonts w:cs="Times New Roman" w:ascii="Times New Roman" w:hAnsi="Times New Roman"/>
        </w:rPr>
      </w:r>
    </w:p>
    <w:p>
      <w:pPr>
        <w:pStyle w:val="Normal"/>
        <w:jc w:val="center"/>
        <w:rPr>
          <w:sz w:val="24"/>
        </w:rPr>
      </w:pPr>
      <w:r>
        <w:rPr>
          <w:sz w:val="24"/>
        </w:rPr>
        <w:t>Edimar Fonseca da Fonseca</w:t>
      </w:r>
    </w:p>
    <w:p>
      <w:pPr>
        <w:pStyle w:val="Normal"/>
        <w:jc w:val="center"/>
        <w:rPr>
          <w:sz w:val="24"/>
        </w:rPr>
      </w:pPr>
      <w:r>
        <w:rPr>
          <w:sz w:val="24"/>
        </w:rPr>
        <w:t>Secretário Adjunto de Município da Educação, Esportes e Lazer</w:t>
      </w:r>
    </w:p>
    <w:p>
      <w:pPr>
        <w:pStyle w:val="Normal"/>
        <w:jc w:val="center"/>
        <w:rPr>
          <w:sz w:val="24"/>
        </w:rPr>
      </w:pPr>
      <w:r>
        <w:rPr>
          <w:sz w:val="24"/>
        </w:rPr>
        <w:t>Matrícula 4781643/1</w:t>
      </w:r>
    </w:p>
    <w:p>
      <w:pPr>
        <w:pStyle w:val="Normal"/>
        <w:jc w:val="center"/>
        <w:rPr>
          <w:sz w:val="24"/>
        </w:rPr>
      </w:pPr>
      <w:r>
        <w:rPr>
          <w:sz w:val="24"/>
        </w:rPr>
        <w:t>Portaria nº 27.862/2025</w:t>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BodyText"/>
        <w:ind w:right="140"/>
        <w:jc w:val="center"/>
        <w:rPr>
          <w:b/>
          <w:sz w:val="25"/>
          <w:szCs w:val="25"/>
        </w:rPr>
      </w:pPr>
      <w:r>
        <w:rPr>
          <w:b/>
          <w:sz w:val="25"/>
          <w:szCs w:val="25"/>
        </w:rPr>
      </w:r>
    </w:p>
    <w:p>
      <w:pPr>
        <w:pStyle w:val="Normal"/>
        <w:tabs>
          <w:tab w:val="clear" w:pos="708"/>
          <w:tab w:val="left" w:pos="8960" w:leader="none"/>
          <w:tab w:val="left" w:pos="9680" w:leader="none"/>
          <w:tab w:val="left" w:pos="10400" w:leader="none"/>
          <w:tab w:val="left" w:pos="11120" w:leader="none"/>
          <w:tab w:val="left" w:pos="11840" w:leader="none"/>
          <w:tab w:val="left" w:pos="12560" w:leader="none"/>
          <w:tab w:val="left" w:pos="13280" w:leader="none"/>
          <w:tab w:val="left" w:pos="14000" w:leader="none"/>
          <w:tab w:val="left" w:pos="14720" w:leader="none"/>
        </w:tabs>
        <w:ind w:right="140"/>
        <w:jc w:val="center"/>
        <w:rPr>
          <w:sz w:val="25"/>
          <w:szCs w:val="25"/>
        </w:rPr>
      </w:pPr>
      <w:r>
        <w:rPr>
          <w:b/>
          <w:caps/>
          <w:sz w:val="25"/>
          <w:szCs w:val="25"/>
        </w:rPr>
        <w:t>ANEXO II</w:t>
      </w:r>
    </w:p>
    <w:p>
      <w:pPr>
        <w:pStyle w:val="Normal"/>
        <w:pBdr>
          <w:top w:val="single" w:sz="4" w:space="1" w:color="000000"/>
          <w:left w:val="single" w:sz="4" w:space="0" w:color="000000"/>
          <w:bottom w:val="single" w:sz="4" w:space="1" w:color="000000"/>
          <w:right w:val="single" w:sz="4" w:space="4" w:color="000000"/>
        </w:pBdr>
        <w:ind w:right="140"/>
        <w:jc w:val="center"/>
        <w:rPr>
          <w:sz w:val="25"/>
          <w:szCs w:val="25"/>
        </w:rPr>
      </w:pPr>
      <w:r>
        <w:rPr>
          <w:b/>
          <w:caps/>
          <w:sz w:val="25"/>
          <w:szCs w:val="25"/>
        </w:rPr>
        <w:t>MODELO DE PROPOSTA</w:t>
      </w:r>
    </w:p>
    <w:p>
      <w:pPr>
        <w:pStyle w:val="Normal"/>
        <w:ind w:right="140"/>
        <w:jc w:val="both"/>
        <w:rPr>
          <w:b/>
          <w:bCs/>
          <w:caps/>
          <w:color w:val="FF0000"/>
          <w:sz w:val="25"/>
          <w:szCs w:val="25"/>
        </w:rPr>
      </w:pPr>
      <w:r>
        <w:rPr>
          <w:b/>
          <w:bCs/>
          <w:caps/>
          <w:color w:val="FF0000"/>
          <w:sz w:val="25"/>
          <w:szCs w:val="25"/>
        </w:rPr>
      </w:r>
    </w:p>
    <w:p>
      <w:pPr>
        <w:pStyle w:val="Normal"/>
        <w:ind w:right="140"/>
        <w:jc w:val="both"/>
        <w:rPr>
          <w:sz w:val="25"/>
          <w:szCs w:val="25"/>
        </w:rPr>
      </w:pPr>
      <w:r>
        <w:rPr>
          <w:bCs/>
          <w:sz w:val="25"/>
          <w:szCs w:val="25"/>
        </w:rPr>
        <w:t>INSTRUÇÕES:</w:t>
      </w:r>
    </w:p>
    <w:p>
      <w:pPr>
        <w:pStyle w:val="ListParagraph"/>
        <w:numPr>
          <w:ilvl w:val="0"/>
          <w:numId w:val="6"/>
        </w:numPr>
        <w:suppressAutoHyphens w:val="true"/>
        <w:ind w:hanging="0" w:left="0" w:right="140"/>
        <w:rPr>
          <w:sz w:val="25"/>
          <w:szCs w:val="25"/>
        </w:rPr>
      </w:pPr>
      <w:r>
        <w:rPr>
          <w:bCs/>
          <w:sz w:val="25"/>
          <w:szCs w:val="25"/>
        </w:rPr>
        <w:t>As empresas participantes poderão optar por entregar suas propostas em modelo/formatação própria, no entanto, devem tomar o cuidado de fazer constar todas as informações constantes deste modelo, sob pena de possível desclassificação.</w:t>
      </w:r>
    </w:p>
    <w:p>
      <w:pPr>
        <w:pStyle w:val="Normal"/>
        <w:widowControl w:val="false"/>
        <w:numPr>
          <w:ilvl w:val="0"/>
          <w:numId w:val="6"/>
        </w:numPr>
        <w:ind w:hanging="0" w:left="0" w:right="140"/>
        <w:jc w:val="both"/>
        <w:rPr>
          <w:sz w:val="25"/>
          <w:szCs w:val="25"/>
        </w:rPr>
      </w:pPr>
      <w:r>
        <w:rPr>
          <w:bCs/>
          <w:sz w:val="25"/>
          <w:szCs w:val="25"/>
        </w:rPr>
        <w:t>Descrever as características do objeto ofertado, conforme o mínimo exigido neste edital.</w:t>
      </w:r>
    </w:p>
    <w:p>
      <w:pPr>
        <w:pStyle w:val="Normal"/>
        <w:ind w:right="140"/>
        <w:jc w:val="center"/>
        <w:rPr>
          <w:b/>
          <w:bCs/>
          <w:sz w:val="25"/>
          <w:szCs w:val="25"/>
        </w:rPr>
      </w:pPr>
      <w:r>
        <w:rPr>
          <w:b/>
          <w:bCs/>
          <w:sz w:val="25"/>
          <w:szCs w:val="25"/>
        </w:rPr>
      </w:r>
    </w:p>
    <w:p>
      <w:pPr>
        <w:pStyle w:val="Normal"/>
        <w:ind w:right="140"/>
        <w:jc w:val="center"/>
        <w:rPr>
          <w:sz w:val="25"/>
          <w:szCs w:val="25"/>
        </w:rPr>
      </w:pPr>
      <w:r>
        <w:rPr>
          <w:b/>
          <w:sz w:val="25"/>
          <w:szCs w:val="25"/>
        </w:rPr>
        <w:t>PROPOSTA FINANCEIRA</w:t>
      </w:r>
    </w:p>
    <w:p>
      <w:pPr>
        <w:pStyle w:val="Normal"/>
        <w:ind w:right="140"/>
        <w:jc w:val="center"/>
        <w:rPr>
          <w:b/>
          <w:sz w:val="25"/>
          <w:szCs w:val="25"/>
        </w:rPr>
      </w:pPr>
      <w:r>
        <w:rPr>
          <w:b/>
          <w:sz w:val="25"/>
          <w:szCs w:val="25"/>
        </w:rPr>
      </w:r>
    </w:p>
    <w:p>
      <w:pPr>
        <w:pStyle w:val="Normal"/>
        <w:tabs>
          <w:tab w:val="clear" w:pos="708"/>
          <w:tab w:val="left" w:pos="4962" w:leader="none"/>
          <w:tab w:val="left" w:pos="5664" w:leader="none"/>
          <w:tab w:val="left" w:pos="6372" w:leader="none"/>
          <w:tab w:val="left" w:pos="7080" w:leader="none"/>
          <w:tab w:val="left" w:pos="7788" w:leader="none"/>
          <w:tab w:val="left" w:pos="8496" w:leader="none"/>
        </w:tabs>
        <w:ind w:right="140"/>
        <w:jc w:val="center"/>
        <w:rPr>
          <w:sz w:val="25"/>
          <w:szCs w:val="25"/>
        </w:rPr>
      </w:pPr>
      <w:r>
        <w:rPr>
          <w:b/>
          <w:sz w:val="25"/>
          <w:szCs w:val="25"/>
        </w:rPr>
        <w:t>EDITAL Nº 4035/2026 - Pregão Eletrônico nº 02/2026</w:t>
      </w:r>
    </w:p>
    <w:p>
      <w:pPr>
        <w:pStyle w:val="Normal"/>
        <w:ind w:right="140"/>
        <w:jc w:val="both"/>
        <w:rPr>
          <w:b/>
          <w:color w:val="FF0000"/>
          <w:sz w:val="25"/>
          <w:szCs w:val="25"/>
        </w:rPr>
      </w:pPr>
      <w:r>
        <w:rPr>
          <w:b/>
          <w:color w:val="FF0000"/>
          <w:sz w:val="25"/>
          <w:szCs w:val="25"/>
        </w:rPr>
      </w:r>
    </w:p>
    <w:p>
      <w:pPr>
        <w:pStyle w:val="Normal"/>
        <w:ind w:right="140"/>
        <w:jc w:val="both"/>
        <w:rPr>
          <w:sz w:val="25"/>
          <w:szCs w:val="25"/>
        </w:rPr>
      </w:pPr>
      <w:r>
        <w:rPr>
          <w:b/>
          <w:sz w:val="25"/>
          <w:szCs w:val="25"/>
        </w:rPr>
        <w:t>OBJETO:</w:t>
      </w:r>
      <w:r>
        <w:rPr>
          <w:sz w:val="25"/>
          <w:szCs w:val="25"/>
        </w:rPr>
        <w:t xml:space="preserve"> Registro de Preços visando a contratação de empresa da área de construção civil </w:t>
      </w:r>
      <w:r>
        <w:rPr>
          <w:bCs/>
          <w:sz w:val="25"/>
          <w:szCs w:val="25"/>
        </w:rPr>
        <w:t>para prestação de serviços de pedreiro, auxiliar de pedreiro e pintor nas unidades da Secretaria Municipal de Saúde de Caçapava do Sul</w:t>
      </w:r>
      <w:r>
        <w:rPr>
          <w:sz w:val="25"/>
          <w:szCs w:val="25"/>
        </w:rPr>
        <w:t>.</w:t>
      </w:r>
    </w:p>
    <w:p>
      <w:pPr>
        <w:pStyle w:val="Normal"/>
        <w:ind w:right="140"/>
        <w:jc w:val="both"/>
        <w:rPr>
          <w:sz w:val="25"/>
          <w:szCs w:val="25"/>
        </w:rPr>
      </w:pPr>
      <w:r>
        <w:rPr>
          <w:sz w:val="25"/>
          <w:szCs w:val="25"/>
        </w:rPr>
      </w:r>
    </w:p>
    <w:tbl>
      <w:tblPr>
        <w:tblW w:w="10005" w:type="dxa"/>
        <w:jc w:val="left"/>
        <w:tblInd w:w="-87" w:type="dxa"/>
        <w:tblLayout w:type="fixed"/>
        <w:tblCellMar>
          <w:top w:w="55" w:type="dxa"/>
          <w:left w:w="55" w:type="dxa"/>
          <w:bottom w:w="55" w:type="dxa"/>
          <w:right w:w="55" w:type="dxa"/>
        </w:tblCellMar>
        <w:tblLook w:firstRow="1" w:noVBand="1" w:lastRow="0" w:firstColumn="1" w:lastColumn="0" w:noHBand="0" w:val="04a0"/>
      </w:tblPr>
      <w:tblGrid>
        <w:gridCol w:w="901"/>
        <w:gridCol w:w="4030"/>
        <w:gridCol w:w="1608"/>
        <w:gridCol w:w="3465"/>
      </w:tblGrid>
      <w:tr>
        <w:trPr/>
        <w:tc>
          <w:tcPr>
            <w:tcW w:w="901" w:type="dxa"/>
            <w:tcBorders>
              <w:top w:val="single" w:sz="4" w:space="0" w:color="000000"/>
              <w:left w:val="single" w:sz="4" w:space="0" w:color="000000"/>
              <w:bottom w:val="single" w:sz="4" w:space="0" w:color="000000"/>
            </w:tcBorders>
          </w:tcPr>
          <w:p>
            <w:pPr>
              <w:pStyle w:val="Contedodatabela"/>
              <w:widowControl w:val="false"/>
              <w:jc w:val="center"/>
              <w:rPr>
                <w:rFonts w:ascii="Times New Roman" w:hAnsi="Times New Roman" w:cs="Times New Roman"/>
                <w:b/>
                <w:sz w:val="25"/>
                <w:szCs w:val="25"/>
              </w:rPr>
            </w:pPr>
            <w:r>
              <w:rPr>
                <w:rFonts w:cs="Times New Roman" w:ascii="Times New Roman" w:hAnsi="Times New Roman"/>
                <w:b/>
                <w:color w:val="000000"/>
                <w:sz w:val="25"/>
                <w:szCs w:val="25"/>
              </w:rPr>
              <w:t>ITEM</w:t>
            </w:r>
          </w:p>
        </w:tc>
        <w:tc>
          <w:tcPr>
            <w:tcW w:w="4030" w:type="dxa"/>
            <w:tcBorders>
              <w:top w:val="single" w:sz="4" w:space="0" w:color="000000"/>
              <w:left w:val="single" w:sz="4" w:space="0" w:color="000000"/>
              <w:bottom w:val="single" w:sz="4" w:space="0" w:color="000000"/>
            </w:tcBorders>
          </w:tcPr>
          <w:p>
            <w:pPr>
              <w:pStyle w:val="Contedodatabela"/>
              <w:widowControl w:val="false"/>
              <w:jc w:val="center"/>
              <w:rPr>
                <w:rFonts w:ascii="Times New Roman" w:hAnsi="Times New Roman" w:cs="Times New Roman"/>
                <w:b/>
                <w:color w:val="000000"/>
                <w:sz w:val="25"/>
                <w:szCs w:val="25"/>
              </w:rPr>
            </w:pPr>
            <w:r>
              <w:rPr>
                <w:rFonts w:cs="Times New Roman" w:ascii="Times New Roman" w:hAnsi="Times New Roman"/>
                <w:b/>
                <w:color w:val="000000"/>
                <w:sz w:val="25"/>
                <w:szCs w:val="25"/>
              </w:rPr>
              <w:t>DESCRIÇÃO /</w:t>
            </w:r>
          </w:p>
          <w:p>
            <w:pPr>
              <w:pStyle w:val="Contedodatabela"/>
              <w:widowControl w:val="false"/>
              <w:jc w:val="center"/>
              <w:rPr>
                <w:rFonts w:ascii="Times New Roman" w:hAnsi="Times New Roman" w:cs="Times New Roman"/>
                <w:sz w:val="25"/>
                <w:szCs w:val="25"/>
              </w:rPr>
            </w:pPr>
            <w:r>
              <w:rPr>
                <w:rFonts w:cs="Times New Roman" w:ascii="Times New Roman" w:hAnsi="Times New Roman"/>
                <w:b/>
                <w:color w:val="000000"/>
                <w:sz w:val="25"/>
                <w:szCs w:val="25"/>
              </w:rPr>
              <w:t>ESPECIFICAÇÃO</w:t>
            </w:r>
          </w:p>
        </w:tc>
        <w:tc>
          <w:tcPr>
            <w:tcW w:w="1608" w:type="dxa"/>
            <w:tcBorders>
              <w:top w:val="single" w:sz="4" w:space="0" w:color="000000"/>
              <w:left w:val="single" w:sz="4" w:space="0" w:color="000000"/>
              <w:bottom w:val="single" w:sz="4" w:space="0" w:color="000000"/>
            </w:tcBorders>
          </w:tcPr>
          <w:p>
            <w:pPr>
              <w:pStyle w:val="Contedodatabela"/>
              <w:widowControl w:val="false"/>
              <w:jc w:val="center"/>
              <w:rPr>
                <w:rFonts w:ascii="Times New Roman" w:hAnsi="Times New Roman" w:cs="Times New Roman"/>
                <w:sz w:val="25"/>
                <w:szCs w:val="25"/>
              </w:rPr>
            </w:pPr>
            <w:r>
              <w:rPr>
                <w:rFonts w:cs="Times New Roman" w:ascii="Times New Roman" w:hAnsi="Times New Roman"/>
                <w:b/>
                <w:color w:val="000000"/>
                <w:sz w:val="25"/>
                <w:szCs w:val="25"/>
              </w:rPr>
              <w:t>UNIDADE DE MEDIDA</w:t>
            </w:r>
          </w:p>
        </w:tc>
        <w:tc>
          <w:tcPr>
            <w:tcW w:w="3465" w:type="dxa"/>
            <w:tcBorders>
              <w:top w:val="single" w:sz="4" w:space="0" w:color="000000"/>
              <w:left w:val="single" w:sz="4" w:space="0" w:color="000000"/>
              <w:bottom w:val="single" w:sz="4" w:space="0" w:color="000000"/>
              <w:right w:val="single" w:sz="4" w:space="0" w:color="000000"/>
            </w:tcBorders>
          </w:tcPr>
          <w:p>
            <w:pPr>
              <w:pStyle w:val="Contedodatabela"/>
              <w:widowControl w:val="false"/>
              <w:jc w:val="center"/>
              <w:rPr>
                <w:rFonts w:ascii="Times New Roman" w:hAnsi="Times New Roman" w:cs="Times New Roman"/>
                <w:sz w:val="25"/>
                <w:szCs w:val="25"/>
              </w:rPr>
            </w:pPr>
            <w:r>
              <w:rPr>
                <w:rFonts w:cs="Times New Roman" w:ascii="Times New Roman" w:hAnsi="Times New Roman"/>
                <w:b/>
                <w:color w:val="000000"/>
                <w:sz w:val="25"/>
                <w:szCs w:val="25"/>
              </w:rPr>
              <w:t>QUANTIDADE</w:t>
            </w:r>
          </w:p>
          <w:p>
            <w:pPr>
              <w:pStyle w:val="Contedodatabela"/>
              <w:widowControl w:val="false"/>
              <w:jc w:val="center"/>
              <w:rPr>
                <w:rFonts w:ascii="Times New Roman" w:hAnsi="Times New Roman" w:cs="Times New Roman"/>
                <w:sz w:val="25"/>
                <w:szCs w:val="25"/>
              </w:rPr>
            </w:pPr>
            <w:r>
              <w:rPr>
                <w:rFonts w:cs="Times New Roman" w:ascii="Times New Roman" w:hAnsi="Times New Roman"/>
                <w:b/>
                <w:color w:val="000000"/>
                <w:sz w:val="25"/>
                <w:szCs w:val="25"/>
              </w:rPr>
              <w:t>ESTIMADA</w:t>
            </w:r>
          </w:p>
          <w:p>
            <w:pPr>
              <w:pStyle w:val="Contedodatabela"/>
              <w:widowControl w:val="false"/>
              <w:jc w:val="center"/>
              <w:rPr>
                <w:rFonts w:ascii="Times New Roman" w:hAnsi="Times New Roman" w:cs="Times New Roman"/>
                <w:sz w:val="25"/>
                <w:szCs w:val="25"/>
              </w:rPr>
            </w:pPr>
            <w:r>
              <w:rPr>
                <w:rFonts w:cs="Times New Roman" w:ascii="Times New Roman" w:hAnsi="Times New Roman"/>
                <w:b/>
                <w:color w:val="000000"/>
                <w:sz w:val="25"/>
                <w:szCs w:val="25"/>
              </w:rPr>
              <w:t>ANUAL</w:t>
            </w:r>
          </w:p>
        </w:tc>
      </w:tr>
      <w:tr>
        <w:trPr/>
        <w:tc>
          <w:tcPr>
            <w:tcW w:w="901" w:type="dxa"/>
            <w:tcBorders>
              <w:left w:val="single" w:sz="4" w:space="0" w:color="000000"/>
              <w:bottom w:val="single" w:sz="4" w:space="0" w:color="000000"/>
            </w:tcBorders>
            <w:vAlign w:val="center"/>
          </w:tcPr>
          <w:p>
            <w:pPr>
              <w:pStyle w:val="Contedodatabela"/>
              <w:widowControl w:val="false"/>
              <w:jc w:val="center"/>
              <w:rPr>
                <w:rFonts w:ascii="Times New Roman" w:hAnsi="Times New Roman" w:cs="Times New Roman"/>
                <w:b/>
                <w:sz w:val="25"/>
                <w:szCs w:val="25"/>
              </w:rPr>
            </w:pPr>
            <w:r>
              <w:rPr>
                <w:rFonts w:cs="Times New Roman" w:ascii="Times New Roman" w:hAnsi="Times New Roman"/>
                <w:b/>
                <w:color w:val="000000"/>
                <w:sz w:val="25"/>
                <w:szCs w:val="25"/>
              </w:rPr>
              <w:t>1</w:t>
            </w:r>
          </w:p>
        </w:tc>
        <w:tc>
          <w:tcPr>
            <w:tcW w:w="4030" w:type="dxa"/>
            <w:tcBorders>
              <w:left w:val="single" w:sz="4" w:space="0" w:color="000000"/>
              <w:bottom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Corte de grama e roçada de vegetação leve: grama alta, capim, arbustos (até 1,5 m de altura), inclusive com remoção do material resultante do corte e/ou roçada (com fornecimento do transporte e equipamentos necessários para o descarte correto dos resíduos), bem como com o fornecimento dos equipamentos (roçadeiras manuais) e equipamentos de proteção individual, e os insumos necessários para o funcionamento dos equipamentos.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b/>
                <w:sz w:val="25"/>
                <w:szCs w:val="25"/>
              </w:rPr>
            </w:pPr>
            <w:r>
              <w:rPr>
                <w:rFonts w:ascii="Times New Roman" w:hAnsi="Times New Roman"/>
                <w:b/>
                <w:sz w:val="25"/>
                <w:szCs w:val="25"/>
              </w:rPr>
              <w:t>Item Exclusivo ME/EPP</w:t>
            </w:r>
          </w:p>
        </w:tc>
        <w:tc>
          <w:tcPr>
            <w:tcW w:w="1608" w:type="dxa"/>
            <w:tcBorders>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3465" w:type="dxa"/>
            <w:tcBorders>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245.000</w:t>
            </w:r>
          </w:p>
        </w:tc>
      </w:tr>
      <w:tr>
        <w:trPr>
          <w:trHeight w:val="718" w:hRule="atLeast"/>
        </w:trPr>
        <w:tc>
          <w:tcPr>
            <w:tcW w:w="901" w:type="dxa"/>
            <w:tcBorders>
              <w:left w:val="single" w:sz="4" w:space="0" w:color="000000"/>
              <w:bottom w:val="single" w:sz="4" w:space="0" w:color="000000"/>
            </w:tcBorders>
            <w:vAlign w:val="center"/>
          </w:tcPr>
          <w:p>
            <w:pPr>
              <w:pStyle w:val="Contedodatabela"/>
              <w:widowControl w:val="false"/>
              <w:jc w:val="center"/>
              <w:rPr>
                <w:rFonts w:ascii="Times New Roman" w:hAnsi="Times New Roman" w:cs="Times New Roman"/>
                <w:b/>
                <w:sz w:val="25"/>
                <w:szCs w:val="25"/>
              </w:rPr>
            </w:pPr>
            <w:r>
              <w:rPr>
                <w:rFonts w:cs="Times New Roman" w:ascii="Times New Roman" w:hAnsi="Times New Roman"/>
                <w:b/>
                <w:color w:val="000000"/>
                <w:sz w:val="25"/>
                <w:szCs w:val="25"/>
              </w:rPr>
              <w:t>2</w:t>
            </w:r>
          </w:p>
        </w:tc>
        <w:tc>
          <w:tcPr>
            <w:tcW w:w="4030" w:type="dxa"/>
            <w:tcBorders>
              <w:left w:val="single" w:sz="4" w:space="0" w:color="000000"/>
              <w:bottom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Corte de grama e roçada de vegetação leve: grama alta, capim, arbustos (até 1,5 m de altura), inclusive com remoção do material resultante do corte e/ou roçada (com fornecimento do transporte e equipamentos necessários para o descarte correto dos resíduos), bem como com o fornecimento dos equipamentos (roçadeiras manuais) e equipamentos de proteção individual, e os insumos necessários para o funcionamento dos equipamentos.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sz w:val="25"/>
                <w:szCs w:val="25"/>
              </w:rPr>
            </w:pPr>
            <w:r>
              <w:rPr>
                <w:rFonts w:ascii="Times New Roman" w:hAnsi="Times New Roman"/>
                <w:b/>
                <w:sz w:val="25"/>
                <w:szCs w:val="25"/>
              </w:rPr>
              <w:t>Item Ampla Concorrência</w:t>
            </w:r>
          </w:p>
        </w:tc>
        <w:tc>
          <w:tcPr>
            <w:tcW w:w="1608" w:type="dxa"/>
            <w:tcBorders>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3465" w:type="dxa"/>
            <w:tcBorders>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735.000</w:t>
            </w:r>
          </w:p>
        </w:tc>
      </w:tr>
      <w:tr>
        <w:trPr/>
        <w:tc>
          <w:tcPr>
            <w:tcW w:w="901" w:type="dxa"/>
            <w:tcBorders>
              <w:left w:val="single" w:sz="4" w:space="0" w:color="000000"/>
              <w:bottom w:val="single" w:sz="4" w:space="0" w:color="000000"/>
            </w:tcBorders>
            <w:vAlign w:val="center"/>
          </w:tcPr>
          <w:p>
            <w:pPr>
              <w:pStyle w:val="Contedodatabela"/>
              <w:widowControl w:val="false"/>
              <w:jc w:val="center"/>
              <w:rPr>
                <w:rFonts w:ascii="Times New Roman" w:hAnsi="Times New Roman" w:cs="Times New Roman"/>
                <w:b/>
                <w:sz w:val="25"/>
                <w:szCs w:val="25"/>
              </w:rPr>
            </w:pPr>
            <w:r>
              <w:rPr>
                <w:rFonts w:cs="Times New Roman" w:ascii="Times New Roman" w:hAnsi="Times New Roman"/>
                <w:b/>
                <w:color w:val="000000"/>
                <w:sz w:val="25"/>
                <w:szCs w:val="25"/>
              </w:rPr>
              <w:t>3</w:t>
            </w:r>
          </w:p>
        </w:tc>
        <w:tc>
          <w:tcPr>
            <w:tcW w:w="4030" w:type="dxa"/>
            <w:tcBorders>
              <w:left w:val="single" w:sz="4" w:space="0" w:color="000000"/>
              <w:bottom w:val="single" w:sz="4" w:space="0" w:color="000000"/>
            </w:tcBorders>
            <w:vAlign w:val="center"/>
          </w:tcPr>
          <w:p>
            <w:pPr>
              <w:pStyle w:val="Default"/>
              <w:jc w:val="both"/>
              <w:rPr>
                <w:rFonts w:ascii="Times New Roman" w:hAnsi="Times New Roman"/>
                <w:sz w:val="25"/>
                <w:szCs w:val="25"/>
              </w:rPr>
            </w:pPr>
            <w:r>
              <w:rPr>
                <w:rFonts w:ascii="Times New Roman" w:hAnsi="Times New Roman"/>
                <w:sz w:val="25"/>
                <w:szCs w:val="25"/>
              </w:rPr>
              <w:t>Capina e limpeza de canteiros, pista e jardineiras, incluindo ferramentas e materiais para a execução dos serviços, inclusive com remoção do material resultante da capina e limpeza de canteiros (com fornecimento do transporte e equipamentos necessários para o descarte correto dos resíduos).</w:t>
            </w:r>
          </w:p>
          <w:p>
            <w:pPr>
              <w:pStyle w:val="Default"/>
              <w:jc w:val="both"/>
              <w:rPr>
                <w:rFonts w:ascii="Times New Roman" w:hAnsi="Times New Roman"/>
                <w:sz w:val="25"/>
                <w:szCs w:val="25"/>
              </w:rPr>
            </w:pPr>
            <w:r>
              <w:rPr>
                <w:rFonts w:ascii="Times New Roman" w:hAnsi="Times New Roman"/>
                <w:sz w:val="25"/>
                <w:szCs w:val="25"/>
              </w:rPr>
            </w:r>
          </w:p>
          <w:p>
            <w:pPr>
              <w:pStyle w:val="Default"/>
              <w:jc w:val="both"/>
              <w:rPr>
                <w:rFonts w:ascii="Times New Roman" w:hAnsi="Times New Roman"/>
                <w:sz w:val="25"/>
                <w:szCs w:val="25"/>
              </w:rPr>
            </w:pPr>
            <w:r>
              <w:rPr>
                <w:rFonts w:ascii="Times New Roman" w:hAnsi="Times New Roman"/>
                <w:b/>
                <w:sz w:val="25"/>
                <w:szCs w:val="25"/>
              </w:rPr>
              <w:t>Item Exclusivo ME/EPP</w:t>
            </w:r>
          </w:p>
        </w:tc>
        <w:tc>
          <w:tcPr>
            <w:tcW w:w="1608" w:type="dxa"/>
            <w:tcBorders>
              <w:left w:val="single" w:sz="4" w:space="0" w:color="000000"/>
              <w:bottom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m</w:t>
            </w:r>
            <w:r>
              <w:rPr>
                <w:rFonts w:ascii="Times New Roman" w:hAnsi="Times New Roman"/>
                <w:color w:val="000000"/>
                <w:sz w:val="25"/>
                <w:szCs w:val="25"/>
                <w:vertAlign w:val="superscript"/>
              </w:rPr>
              <w:t>2</w:t>
            </w:r>
          </w:p>
        </w:tc>
        <w:tc>
          <w:tcPr>
            <w:tcW w:w="3465" w:type="dxa"/>
            <w:tcBorders>
              <w:left w:val="single" w:sz="4" w:space="0" w:color="000000"/>
              <w:bottom w:val="single" w:sz="4" w:space="0" w:color="000000"/>
              <w:right w:val="single" w:sz="4" w:space="0" w:color="000000"/>
            </w:tcBorders>
            <w:vAlign w:val="center"/>
          </w:tcPr>
          <w:p>
            <w:pPr>
              <w:pStyle w:val="Contedodatabela"/>
              <w:jc w:val="center"/>
              <w:rPr>
                <w:rFonts w:ascii="Times New Roman" w:hAnsi="Times New Roman"/>
                <w:sz w:val="25"/>
                <w:szCs w:val="25"/>
              </w:rPr>
            </w:pPr>
            <w:r>
              <w:rPr>
                <w:rFonts w:ascii="Times New Roman" w:hAnsi="Times New Roman"/>
                <w:color w:val="000000"/>
                <w:sz w:val="25"/>
                <w:szCs w:val="25"/>
              </w:rPr>
              <w:t>150.000</w:t>
            </w:r>
          </w:p>
        </w:tc>
      </w:tr>
    </w:tbl>
    <w:p>
      <w:pPr>
        <w:pStyle w:val="Normal"/>
        <w:ind w:right="140"/>
        <w:jc w:val="both"/>
        <w:rPr>
          <w:sz w:val="25"/>
          <w:szCs w:val="25"/>
        </w:rPr>
      </w:pPr>
      <w:r>
        <w:rPr>
          <w:sz w:val="25"/>
          <w:szCs w:val="25"/>
        </w:rPr>
        <w:tab/>
      </w:r>
    </w:p>
    <w:p>
      <w:pPr>
        <w:pStyle w:val="Normal"/>
        <w:ind w:right="140"/>
        <w:jc w:val="both"/>
        <w:rPr>
          <w:sz w:val="25"/>
          <w:szCs w:val="25"/>
        </w:rPr>
      </w:pPr>
      <w:r>
        <w:rPr>
          <w:sz w:val="25"/>
          <w:szCs w:val="25"/>
        </w:rPr>
        <w:t>Nos valores propostos acima, estão inclusos todas as despesas de frete e quaisquer encargos inerentes ao fornecimento dos produtos, tais como: tributos, taxas, transportes e outros que, direta e indiretamente, incidam sobre o perfeito e integral cumprimento da proposta apresentada.</w:t>
      </w:r>
    </w:p>
    <w:p>
      <w:pPr>
        <w:pStyle w:val="Normal"/>
        <w:ind w:right="140"/>
        <w:jc w:val="both"/>
        <w:rPr>
          <w:sz w:val="25"/>
          <w:szCs w:val="25"/>
        </w:rPr>
      </w:pPr>
      <w:r>
        <w:rPr>
          <w:sz w:val="25"/>
          <w:szCs w:val="25"/>
        </w:rPr>
      </w:r>
    </w:p>
    <w:p>
      <w:pPr>
        <w:pStyle w:val="Normal"/>
        <w:ind w:right="140"/>
        <w:jc w:val="both"/>
        <w:rPr>
          <w:sz w:val="25"/>
          <w:szCs w:val="25"/>
        </w:rPr>
      </w:pPr>
      <w:r>
        <w:rPr>
          <w:b/>
          <w:sz w:val="25"/>
          <w:szCs w:val="25"/>
        </w:rPr>
        <w:t>PRAZO DE VALIDADE DESTA PROPOSTA:</w:t>
      </w:r>
      <w:r>
        <w:rPr>
          <w:sz w:val="25"/>
          <w:szCs w:val="25"/>
        </w:rPr>
        <w:t xml:space="preserve"> 60 (sessenta) dias contados a partir da data da apresentação desta proposta.</w:t>
      </w:r>
    </w:p>
    <w:p>
      <w:pPr>
        <w:pStyle w:val="Normal"/>
        <w:ind w:right="140"/>
        <w:jc w:val="both"/>
        <w:rPr>
          <w:sz w:val="25"/>
          <w:szCs w:val="25"/>
        </w:rPr>
      </w:pPr>
      <w:r>
        <w:rPr>
          <w:sz w:val="25"/>
          <w:szCs w:val="25"/>
        </w:rPr>
      </w:r>
    </w:p>
    <w:p>
      <w:pPr>
        <w:pStyle w:val="Normal"/>
        <w:tabs>
          <w:tab w:val="clear" w:pos="708"/>
          <w:tab w:val="left" w:pos="0" w:leader="none"/>
          <w:tab w:val="right" w:pos="142" w:leader="none"/>
        </w:tabs>
        <w:ind w:right="140"/>
        <w:jc w:val="both"/>
        <w:rPr>
          <w:sz w:val="25"/>
          <w:szCs w:val="25"/>
        </w:rPr>
      </w:pPr>
      <w:r>
        <w:rPr>
          <w:b/>
          <w:bCs/>
          <w:sz w:val="25"/>
          <w:szCs w:val="25"/>
        </w:rPr>
        <w:t>DADOS DA EMPRESA LICITANTE VENCEDORA</w:t>
      </w:r>
    </w:p>
    <w:p>
      <w:pPr>
        <w:pStyle w:val="Normal"/>
        <w:tabs>
          <w:tab w:val="clear" w:pos="708"/>
          <w:tab w:val="left" w:pos="0" w:leader="none"/>
          <w:tab w:val="right" w:pos="5846" w:leader="none"/>
        </w:tabs>
        <w:ind w:right="140"/>
        <w:jc w:val="both"/>
        <w:rPr>
          <w:b/>
          <w:bCs/>
          <w:color w:val="FF0000"/>
          <w:sz w:val="25"/>
          <w:szCs w:val="25"/>
        </w:rPr>
      </w:pPr>
      <w:r>
        <w:rPr>
          <w:b/>
          <w:bCs/>
          <w:color w:val="FF0000"/>
          <w:sz w:val="25"/>
          <w:szCs w:val="25"/>
        </w:rPr>
      </w:r>
    </w:p>
    <w:p>
      <w:pPr>
        <w:pStyle w:val="ListParagraph"/>
        <w:ind w:left="0" w:right="140"/>
        <w:rPr>
          <w:sz w:val="25"/>
          <w:szCs w:val="25"/>
        </w:rPr>
      </w:pPr>
      <w:r>
        <w:rPr>
          <w:bCs/>
          <w:iCs/>
          <w:sz w:val="25"/>
          <w:szCs w:val="25"/>
        </w:rPr>
        <w:t>Razão Social:</w:t>
      </w:r>
    </w:p>
    <w:p>
      <w:pPr>
        <w:pStyle w:val="ListParagraph"/>
        <w:tabs>
          <w:tab w:val="clear" w:pos="708"/>
          <w:tab w:val="left" w:pos="1455" w:leader="none"/>
        </w:tabs>
        <w:ind w:left="0" w:right="140"/>
        <w:rPr>
          <w:sz w:val="25"/>
          <w:szCs w:val="25"/>
        </w:rPr>
      </w:pPr>
      <w:r>
        <w:rPr>
          <w:bCs/>
          <w:iCs/>
          <w:sz w:val="25"/>
          <w:szCs w:val="25"/>
        </w:rPr>
        <w:t>CNPJ:</w:t>
      </w:r>
    </w:p>
    <w:p>
      <w:pPr>
        <w:pStyle w:val="ListParagraph"/>
        <w:ind w:left="0" w:right="140"/>
        <w:rPr>
          <w:sz w:val="25"/>
          <w:szCs w:val="25"/>
        </w:rPr>
      </w:pPr>
      <w:r>
        <w:rPr>
          <w:bCs/>
          <w:iCs/>
          <w:sz w:val="25"/>
          <w:szCs w:val="25"/>
        </w:rPr>
        <w:t>Endereço:</w:t>
      </w:r>
    </w:p>
    <w:p>
      <w:pPr>
        <w:pStyle w:val="ListParagraph"/>
        <w:ind w:left="0" w:right="140"/>
        <w:rPr>
          <w:sz w:val="25"/>
          <w:szCs w:val="25"/>
        </w:rPr>
      </w:pPr>
      <w:r>
        <w:rPr>
          <w:bCs/>
          <w:iCs/>
          <w:sz w:val="25"/>
          <w:szCs w:val="25"/>
        </w:rPr>
        <w:t>Nome do contato:</w:t>
      </w:r>
    </w:p>
    <w:p>
      <w:pPr>
        <w:pStyle w:val="ListParagraph"/>
        <w:ind w:left="0" w:right="140"/>
        <w:rPr>
          <w:sz w:val="25"/>
          <w:szCs w:val="25"/>
        </w:rPr>
      </w:pPr>
      <w:r>
        <w:rPr>
          <w:bCs/>
          <w:iCs/>
          <w:sz w:val="25"/>
          <w:szCs w:val="25"/>
        </w:rPr>
        <w:t>Telefone:</w:t>
      </w:r>
    </w:p>
    <w:p>
      <w:pPr>
        <w:pStyle w:val="ListParagraph"/>
        <w:ind w:left="0" w:right="140"/>
        <w:rPr>
          <w:sz w:val="25"/>
          <w:szCs w:val="25"/>
        </w:rPr>
      </w:pPr>
      <w:r>
        <w:rPr>
          <w:bCs/>
          <w:iCs/>
          <w:sz w:val="25"/>
          <w:szCs w:val="25"/>
        </w:rPr>
        <w:t>E-mail:</w:t>
      </w:r>
    </w:p>
    <w:p>
      <w:pPr>
        <w:pStyle w:val="ListParagraph"/>
        <w:ind w:left="0" w:right="140"/>
        <w:rPr>
          <w:sz w:val="25"/>
          <w:szCs w:val="25"/>
        </w:rPr>
      </w:pPr>
      <w:r>
        <w:rPr>
          <w:bCs/>
          <w:iCs/>
          <w:sz w:val="25"/>
          <w:szCs w:val="25"/>
        </w:rPr>
        <w:t>Dados bancários para pagamento:</w:t>
      </w:r>
    </w:p>
    <w:p>
      <w:pPr>
        <w:pStyle w:val="ListParagraph"/>
        <w:ind w:left="0" w:right="140"/>
        <w:rPr>
          <w:sz w:val="25"/>
          <w:szCs w:val="25"/>
        </w:rPr>
      </w:pPr>
      <w:r>
        <w:rPr>
          <w:bCs/>
          <w:iCs/>
          <w:sz w:val="25"/>
          <w:szCs w:val="25"/>
        </w:rPr>
        <w:t>Dados da pessoa responsável pela assinatura do Contrato:</w:t>
      </w:r>
    </w:p>
    <w:p>
      <w:pPr>
        <w:pStyle w:val="Normal"/>
        <w:ind w:right="140"/>
        <w:jc w:val="both"/>
        <w:rPr>
          <w:bCs/>
          <w:iCs/>
          <w:sz w:val="25"/>
          <w:szCs w:val="25"/>
        </w:rPr>
      </w:pPr>
      <w:r>
        <w:rPr>
          <w:bCs/>
          <w:iCs/>
          <w:sz w:val="25"/>
          <w:szCs w:val="25"/>
        </w:rPr>
      </w:r>
    </w:p>
    <w:p>
      <w:pPr>
        <w:pStyle w:val="Textodecomentrio1"/>
        <w:ind w:right="140"/>
        <w:jc w:val="both"/>
        <w:rPr>
          <w:sz w:val="25"/>
          <w:szCs w:val="25"/>
        </w:rPr>
      </w:pPr>
      <w:r>
        <w:rPr>
          <w:bCs/>
          <w:iCs/>
          <w:sz w:val="25"/>
          <w:szCs w:val="25"/>
        </w:rPr>
        <w:t>Local, data.</w:t>
      </w:r>
    </w:p>
    <w:p>
      <w:pPr>
        <w:pStyle w:val="Textodecomentrio1"/>
        <w:ind w:right="140"/>
        <w:jc w:val="center"/>
        <w:rPr>
          <w:sz w:val="25"/>
          <w:szCs w:val="25"/>
        </w:rPr>
      </w:pPr>
      <w:r>
        <w:rPr>
          <w:bCs/>
          <w:iCs/>
          <w:sz w:val="25"/>
          <w:szCs w:val="25"/>
        </w:rPr>
        <w:t>__________________________________________</w:t>
      </w:r>
    </w:p>
    <w:p>
      <w:pPr>
        <w:pStyle w:val="Textodecomentrio1"/>
        <w:ind w:right="140"/>
        <w:jc w:val="center"/>
        <w:rPr>
          <w:sz w:val="25"/>
          <w:szCs w:val="25"/>
        </w:rPr>
      </w:pPr>
      <w:r>
        <w:rPr>
          <w:bCs/>
          <w:iCs/>
          <w:sz w:val="25"/>
          <w:szCs w:val="25"/>
        </w:rPr>
        <w:t>Nome e Cargo do Responsável pela Empresa</w:t>
      </w:r>
    </w:p>
    <w:p>
      <w:pPr>
        <w:pStyle w:val="Normal"/>
        <w:tabs>
          <w:tab w:val="clear" w:pos="708"/>
          <w:tab w:val="left" w:pos="0" w:leader="none"/>
          <w:tab w:val="right" w:pos="5846" w:leader="none"/>
        </w:tabs>
        <w:ind w:right="140"/>
        <w:jc w:val="both"/>
        <w:rPr>
          <w:b/>
          <w:bCs/>
          <w:iCs/>
          <w:color w:val="FF0000"/>
          <w:sz w:val="25"/>
          <w:szCs w:val="25"/>
        </w:rPr>
      </w:pPr>
      <w:r>
        <w:rPr>
          <w:b/>
          <w:bCs/>
          <w:iCs/>
          <w:color w:val="FF0000"/>
          <w:sz w:val="25"/>
          <w:szCs w:val="25"/>
        </w:rPr>
      </w:r>
    </w:p>
    <w:p>
      <w:pPr>
        <w:pStyle w:val="Normal"/>
        <w:pBdr>
          <w:top w:val="single" w:sz="4" w:space="1" w:color="000000"/>
          <w:left w:val="single" w:sz="4" w:space="0" w:color="000000"/>
          <w:bottom w:val="single" w:sz="4" w:space="1" w:color="000000"/>
          <w:right w:val="single" w:sz="4" w:space="4" w:color="000000"/>
        </w:pBdr>
        <w:ind w:right="140"/>
        <w:jc w:val="center"/>
        <w:rPr>
          <w:sz w:val="25"/>
          <w:szCs w:val="25"/>
        </w:rPr>
      </w:pPr>
      <w:r>
        <w:rPr>
          <w:b/>
          <w:caps/>
          <w:sz w:val="25"/>
          <w:szCs w:val="25"/>
        </w:rPr>
        <w:t>ANEXO III</w:t>
      </w:r>
    </w:p>
    <w:p>
      <w:pPr>
        <w:pStyle w:val="Normal"/>
        <w:pBdr>
          <w:top w:val="single" w:sz="4" w:space="1" w:color="000000"/>
          <w:left w:val="single" w:sz="4" w:space="0" w:color="000000"/>
          <w:bottom w:val="single" w:sz="4" w:space="1" w:color="000000"/>
          <w:right w:val="single" w:sz="4" w:space="4" w:color="000000"/>
        </w:pBdr>
        <w:ind w:right="140"/>
        <w:jc w:val="center"/>
        <w:rPr>
          <w:sz w:val="25"/>
          <w:szCs w:val="25"/>
        </w:rPr>
      </w:pPr>
      <w:r>
        <w:rPr>
          <w:b/>
          <w:caps/>
          <w:sz w:val="25"/>
          <w:szCs w:val="25"/>
        </w:rPr>
        <w:t>MODELOS DE DECLARAÇÕES PARA HABILITAÇÃO</w:t>
      </w:r>
    </w:p>
    <w:p>
      <w:pPr>
        <w:pStyle w:val="Normal"/>
        <w:spacing w:before="120" w:after="120"/>
        <w:ind w:right="140"/>
        <w:jc w:val="both"/>
        <w:rPr>
          <w:rFonts w:eastAsia="Calibri"/>
          <w:b/>
          <w:iCs/>
          <w:caps/>
          <w:color w:val="FF0000"/>
          <w:sz w:val="25"/>
          <w:szCs w:val="25"/>
          <w:lang w:eastAsia="en-US"/>
        </w:rPr>
      </w:pPr>
      <w:r>
        <w:rPr>
          <w:rFonts w:eastAsia="Calibri"/>
          <w:b/>
          <w:iCs/>
          <w:caps/>
          <w:color w:val="FF0000"/>
          <w:sz w:val="25"/>
          <w:szCs w:val="25"/>
          <w:lang w:eastAsia="en-US"/>
        </w:rPr>
      </w:r>
    </w:p>
    <w:p>
      <w:pPr>
        <w:pStyle w:val="Normal"/>
        <w:spacing w:before="120" w:after="120"/>
        <w:ind w:right="140"/>
        <w:jc w:val="both"/>
        <w:rPr>
          <w:sz w:val="25"/>
          <w:szCs w:val="25"/>
        </w:rPr>
      </w:pPr>
      <w:r>
        <w:rPr>
          <w:rFonts w:eastAsia="Calibri"/>
          <w:iCs/>
          <w:sz w:val="25"/>
          <w:szCs w:val="25"/>
          <w:lang w:eastAsia="en-US"/>
        </w:rPr>
        <w:t>INSTRUÇÕES:</w:t>
      </w:r>
    </w:p>
    <w:p>
      <w:pPr>
        <w:pStyle w:val="Normal"/>
        <w:numPr>
          <w:ilvl w:val="0"/>
          <w:numId w:val="7"/>
        </w:numPr>
        <w:spacing w:before="120" w:after="120"/>
        <w:ind w:hanging="0" w:left="0" w:right="140"/>
        <w:contextualSpacing/>
        <w:jc w:val="both"/>
        <w:rPr>
          <w:sz w:val="25"/>
          <w:szCs w:val="25"/>
        </w:rPr>
      </w:pPr>
      <w:r>
        <w:rPr>
          <w:rFonts w:eastAsia="Calibri"/>
          <w:iCs/>
          <w:sz w:val="25"/>
          <w:szCs w:val="25"/>
          <w:lang w:eastAsia="en-US"/>
        </w:rPr>
        <w:t>Entregar as declarações preferencialmente em papel timbrado da empresa.</w:t>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spacing w:before="120" w:after="120"/>
        <w:ind w:right="140"/>
        <w:jc w:val="both"/>
        <w:rPr>
          <w:sz w:val="25"/>
          <w:szCs w:val="25"/>
        </w:rPr>
      </w:pPr>
      <w:r>
        <w:rPr>
          <w:rFonts w:eastAsia="Calibri"/>
          <w:color w:val="000000"/>
          <w:sz w:val="25"/>
          <w:szCs w:val="25"/>
          <w:lang w:eastAsia="en-US"/>
        </w:rPr>
        <w:t>(TIMBRE DA EMPRESA)</w:t>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spacing w:before="120" w:after="120"/>
        <w:ind w:right="140"/>
        <w:jc w:val="both"/>
        <w:rPr>
          <w:sz w:val="25"/>
          <w:szCs w:val="25"/>
        </w:rPr>
      </w:pPr>
      <w:r>
        <w:rPr>
          <w:rFonts w:eastAsia="Calibri"/>
          <w:color w:val="000000"/>
          <w:sz w:val="25"/>
          <w:szCs w:val="25"/>
          <w:lang w:eastAsia="en-US"/>
        </w:rPr>
        <w:t>Ao</w:t>
      </w:r>
    </w:p>
    <w:p>
      <w:pPr>
        <w:pStyle w:val="Normal"/>
        <w:spacing w:before="120" w:after="120"/>
        <w:ind w:right="140"/>
        <w:jc w:val="both"/>
        <w:rPr>
          <w:sz w:val="25"/>
          <w:szCs w:val="25"/>
        </w:rPr>
      </w:pPr>
      <w:r>
        <w:rPr>
          <w:rFonts w:eastAsia="Calibri"/>
          <w:color w:val="000000"/>
          <w:sz w:val="25"/>
          <w:szCs w:val="25"/>
          <w:lang w:eastAsia="en-US"/>
        </w:rPr>
        <w:t>Município de Caçapava do Sul-RS.</w:t>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spacing w:before="120" w:after="120"/>
        <w:ind w:right="140"/>
        <w:jc w:val="both"/>
        <w:rPr>
          <w:sz w:val="25"/>
          <w:szCs w:val="25"/>
        </w:rPr>
      </w:pPr>
      <w:r>
        <w:rPr>
          <w:b/>
          <w:color w:val="000000"/>
          <w:sz w:val="25"/>
          <w:szCs w:val="25"/>
          <w:lang w:eastAsia="en-US"/>
        </w:rPr>
        <w:t xml:space="preserve">                                                     </w:t>
      </w:r>
      <w:r>
        <w:rPr>
          <w:rFonts w:eastAsia="Calibri"/>
          <w:b/>
          <w:color w:val="000000"/>
          <w:sz w:val="25"/>
          <w:szCs w:val="25"/>
          <w:lang w:eastAsia="en-US"/>
        </w:rPr>
        <w:t>DECLARAÇÃO</w:t>
      </w:r>
    </w:p>
    <w:p>
      <w:pPr>
        <w:pStyle w:val="Normal"/>
        <w:spacing w:before="120" w:after="120"/>
        <w:ind w:right="140"/>
        <w:jc w:val="both"/>
        <w:rPr>
          <w:rFonts w:eastAsia="Calibri"/>
          <w:b/>
          <w:color w:val="000000"/>
          <w:sz w:val="25"/>
          <w:szCs w:val="25"/>
          <w:lang w:eastAsia="en-US"/>
        </w:rPr>
      </w:pPr>
      <w:r>
        <w:rPr>
          <w:rFonts w:eastAsia="Calibri"/>
          <w:b/>
          <w:color w:val="000000"/>
          <w:sz w:val="25"/>
          <w:szCs w:val="25"/>
          <w:lang w:eastAsia="en-US"/>
        </w:rPr>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spacing w:before="120" w:after="120"/>
        <w:ind w:right="140"/>
        <w:jc w:val="both"/>
        <w:rPr>
          <w:sz w:val="25"/>
          <w:szCs w:val="25"/>
        </w:rPr>
      </w:pPr>
      <w:r>
        <w:rPr>
          <w:rFonts w:eastAsia="Calibri"/>
          <w:color w:val="000000"/>
          <w:sz w:val="25"/>
          <w:szCs w:val="25"/>
          <w:lang w:eastAsia="en-US"/>
        </w:rPr>
        <w:t>...................................................., inscrita no CNPJ n° .................., por intermédio de seu representante legal o(a) Sr(a) .............................................................. portador(a) da Carteira de Identidade n..............................................., DECLARA:</w:t>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spacing w:before="120" w:after="120"/>
        <w:ind w:right="140"/>
        <w:jc w:val="both"/>
        <w:rPr>
          <w:sz w:val="25"/>
          <w:szCs w:val="25"/>
        </w:rPr>
      </w:pPr>
      <w:r>
        <w:rPr>
          <w:rFonts w:eastAsia="Calibri"/>
          <w:color w:val="000000"/>
          <w:sz w:val="25"/>
          <w:szCs w:val="25"/>
          <w:lang w:eastAsia="en-US"/>
        </w:rPr>
        <w:t>1. que tem conhecimento e atende a todas as exigências de habilitação constantes na Lei Federal n. 14.133/2021;</w:t>
      </w:r>
    </w:p>
    <w:p>
      <w:pPr>
        <w:pStyle w:val="Normal"/>
        <w:spacing w:before="120" w:after="120"/>
        <w:ind w:right="140"/>
        <w:jc w:val="both"/>
        <w:rPr>
          <w:sz w:val="25"/>
          <w:szCs w:val="25"/>
        </w:rPr>
      </w:pPr>
      <w:r>
        <w:rPr>
          <w:rFonts w:eastAsia="Calibri"/>
          <w:color w:val="000000"/>
          <w:sz w:val="25"/>
          <w:szCs w:val="25"/>
          <w:lang w:eastAsia="en-US"/>
        </w:rPr>
        <w:t>2. que assume o compromisso de guardar todos os documentos originais/autenticados, enviados eletronicamente, pelo prazo de 10 (dez) anos, e apresentá-los quando requeridos pela Administração Pública;</w:t>
      </w:r>
    </w:p>
    <w:p>
      <w:pPr>
        <w:pStyle w:val="Normal"/>
        <w:spacing w:before="120" w:after="120"/>
        <w:ind w:right="140"/>
        <w:jc w:val="both"/>
        <w:rPr>
          <w:sz w:val="25"/>
          <w:szCs w:val="25"/>
        </w:rPr>
      </w:pPr>
      <w:r>
        <w:rPr>
          <w:rFonts w:eastAsia="Calibri"/>
          <w:color w:val="000000"/>
          <w:sz w:val="25"/>
          <w:szCs w:val="25"/>
          <w:lang w:eastAsia="en-US"/>
        </w:rPr>
        <w:t>3. que os documentos enviados eletronicamente são fiéis aos originais e válidos para todos os efeitos legais, incorrendo nas sanções previstas na Lei Federal nº 14.133/21, conforme a legislação aplicável, em caso de declaração falsa, sem prejuízo da responsabilização civil e criminal;</w:t>
      </w:r>
    </w:p>
    <w:p>
      <w:pPr>
        <w:pStyle w:val="Normal"/>
        <w:spacing w:before="120" w:after="120"/>
        <w:ind w:right="140"/>
        <w:jc w:val="both"/>
        <w:rPr>
          <w:sz w:val="25"/>
          <w:szCs w:val="25"/>
        </w:rPr>
      </w:pPr>
      <w:r>
        <w:rPr>
          <w:rFonts w:eastAsia="Calibri"/>
          <w:color w:val="000000"/>
          <w:sz w:val="25"/>
          <w:szCs w:val="25"/>
          <w:lang w:eastAsia="en-US"/>
        </w:rPr>
        <w:t>4. que não emprega menor de dezoito anos em trabalho noturno, perigoso ou insalubre e não emprega menor de dezesseis anos, salvo na condição de aprendiz, a partir de quatorze anos, conforme previsto no inciso VI do art. 68 da Lei Federal 14.133/2021 (inciso XXXIII do art. 7o da Constituição Federal);</w:t>
      </w:r>
    </w:p>
    <w:p>
      <w:pPr>
        <w:pStyle w:val="Normal"/>
        <w:spacing w:before="120" w:after="120"/>
        <w:ind w:right="140"/>
        <w:jc w:val="both"/>
        <w:rPr>
          <w:sz w:val="25"/>
          <w:szCs w:val="25"/>
        </w:rPr>
      </w:pPr>
      <w:r>
        <w:rPr>
          <w:rFonts w:eastAsia="Calibri"/>
          <w:color w:val="000000"/>
          <w:sz w:val="25"/>
          <w:szCs w:val="25"/>
          <w:lang w:eastAsia="en-US"/>
        </w:rPr>
        <w:t>5. que tem conhecimento acerca das condutas passíveis de penalidades previstas no art. 156 da Lei Federal nº 14.133/2021, conforme legislação aplicável;</w:t>
      </w:r>
    </w:p>
    <w:p>
      <w:pPr>
        <w:pStyle w:val="Normal"/>
        <w:spacing w:before="120" w:after="120"/>
        <w:ind w:right="140"/>
        <w:jc w:val="both"/>
        <w:rPr>
          <w:sz w:val="25"/>
          <w:szCs w:val="25"/>
        </w:rPr>
      </w:pPr>
      <w:r>
        <w:rPr>
          <w:rFonts w:eastAsia="Calibri"/>
          <w:color w:val="000000"/>
          <w:sz w:val="25"/>
          <w:szCs w:val="25"/>
          <w:lang w:eastAsia="en-US"/>
        </w:rPr>
        <w:t>6. que até a presente data inexistem fatos impeditivos à sua participação, salvo disposição extraordinária prevista em lei específica;</w:t>
      </w:r>
    </w:p>
    <w:p>
      <w:pPr>
        <w:pStyle w:val="Normal"/>
        <w:spacing w:before="120" w:after="120"/>
        <w:ind w:right="140"/>
        <w:jc w:val="both"/>
        <w:rPr>
          <w:sz w:val="25"/>
          <w:szCs w:val="25"/>
        </w:rPr>
      </w:pPr>
      <w:r>
        <w:rPr>
          <w:rFonts w:eastAsia="Calibri"/>
          <w:color w:val="000000"/>
          <w:sz w:val="25"/>
          <w:szCs w:val="25"/>
          <w:lang w:eastAsia="en-US"/>
        </w:rPr>
        <w:t>7. que cumpre as exigências de reserva de cargos para pessoa com deficiência e para reabilitado da Previdência Social, previstas em lei e em outras normas específicas;</w:t>
      </w:r>
    </w:p>
    <w:p>
      <w:pPr>
        <w:pStyle w:val="Normal"/>
        <w:spacing w:before="120" w:after="120"/>
        <w:ind w:right="140"/>
        <w:jc w:val="both"/>
        <w:rPr>
          <w:sz w:val="25"/>
          <w:szCs w:val="25"/>
        </w:rPr>
      </w:pPr>
      <w:r>
        <w:rPr>
          <w:rFonts w:eastAsia="Calibri"/>
          <w:color w:val="000000"/>
          <w:sz w:val="25"/>
          <w:szCs w:val="25"/>
          <w:lang w:eastAsia="en-US"/>
        </w:rPr>
        <w:t>8. que sua proposta econômica compreende a integralidade dos custos para atendimento dos direitos trabalhistas assegurados na Constituição Federal, nas leis trabalhistas, nas normas infralegais, nas convenções coletivas de trabalho e nos termos de ajustamento de conduta vigentes;</w:t>
      </w:r>
    </w:p>
    <w:p>
      <w:pPr>
        <w:pStyle w:val="Normal"/>
        <w:spacing w:before="120" w:after="120"/>
        <w:ind w:right="140"/>
        <w:jc w:val="both"/>
        <w:rPr>
          <w:sz w:val="25"/>
          <w:szCs w:val="25"/>
        </w:rPr>
      </w:pPr>
      <w:r>
        <w:rPr>
          <w:rFonts w:eastAsia="Calibri"/>
          <w:color w:val="000000"/>
          <w:sz w:val="25"/>
          <w:szCs w:val="25"/>
          <w:lang w:eastAsia="en-US"/>
        </w:rPr>
        <w:t>9. que tem pleno conhecimento do objeto, das condições e das peculiaridades inerentes à natureza dos trabalhos;</w:t>
      </w:r>
    </w:p>
    <w:p>
      <w:pPr>
        <w:pStyle w:val="Normal"/>
        <w:spacing w:before="120" w:after="120"/>
        <w:ind w:right="140"/>
        <w:jc w:val="both"/>
        <w:rPr>
          <w:sz w:val="25"/>
          <w:szCs w:val="25"/>
        </w:rPr>
      </w:pPr>
      <w:r>
        <w:rPr>
          <w:rFonts w:eastAsia="Calibri"/>
          <w:color w:val="000000"/>
          <w:sz w:val="25"/>
          <w:szCs w:val="25"/>
          <w:lang w:eastAsia="en-US"/>
        </w:rPr>
        <w:t>10. que disporá para a execução do contrato de: instalações, pessoal qualificado e aparelhamento técnico adequado e disponível para cumprir o objeto da licitação, quando for o caso.</w:t>
      </w:r>
    </w:p>
    <w:p>
      <w:pPr>
        <w:pStyle w:val="Normal"/>
        <w:spacing w:before="120" w:after="120"/>
        <w:ind w:right="140"/>
        <w:jc w:val="both"/>
        <w:rPr>
          <w:sz w:val="25"/>
          <w:szCs w:val="25"/>
        </w:rPr>
      </w:pPr>
      <w:r>
        <w:rPr>
          <w:rFonts w:eastAsia="Calibri"/>
          <w:color w:val="000000"/>
          <w:sz w:val="25"/>
          <w:szCs w:val="25"/>
          <w:lang w:eastAsia="en-US"/>
        </w:rPr>
        <w:t>11. que inexiste, em seus quadros, sócios ou empregados com vínculo de parentesco em linha reta, colateral ou por afinidade até o terceiro grau, ou, ainda, que sejam cônjuges ou companheiros de ocupantes do quadro do Município de Caçapava do Sul.</w:t>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spacing w:before="120" w:after="120"/>
        <w:ind w:right="140"/>
        <w:jc w:val="both"/>
        <w:rPr>
          <w:sz w:val="25"/>
          <w:szCs w:val="25"/>
        </w:rPr>
      </w:pPr>
      <w:r>
        <w:rPr>
          <w:rFonts w:eastAsia="Calibri"/>
          <w:color w:val="000000"/>
          <w:sz w:val="25"/>
          <w:szCs w:val="25"/>
          <w:lang w:eastAsia="en-US"/>
        </w:rPr>
        <w:t>[CIDADE], [DATA]</w:t>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spacing w:before="120" w:after="120"/>
        <w:ind w:right="140"/>
        <w:jc w:val="center"/>
        <w:rPr>
          <w:sz w:val="25"/>
          <w:szCs w:val="25"/>
        </w:rPr>
      </w:pPr>
      <w:r>
        <w:rPr>
          <w:rFonts w:eastAsia="Calibri"/>
          <w:color w:val="000000"/>
          <w:sz w:val="25"/>
          <w:szCs w:val="25"/>
          <w:lang w:eastAsia="en-US"/>
        </w:rPr>
        <w:t>Assinatura do representante legal</w:t>
      </w:r>
    </w:p>
    <w:p>
      <w:pPr>
        <w:pStyle w:val="Normal"/>
        <w:spacing w:before="120" w:after="120"/>
        <w:ind w:right="140"/>
        <w:jc w:val="center"/>
        <w:rPr>
          <w:sz w:val="25"/>
          <w:szCs w:val="25"/>
        </w:rPr>
      </w:pPr>
      <w:r>
        <w:rPr>
          <w:rFonts w:eastAsia="Calibri"/>
          <w:color w:val="000000"/>
          <w:sz w:val="25"/>
          <w:szCs w:val="25"/>
          <w:lang w:eastAsia="en-US"/>
        </w:rPr>
        <w:t>-----------------------------------------------</w:t>
      </w:r>
    </w:p>
    <w:p>
      <w:pPr>
        <w:pStyle w:val="Normal"/>
        <w:spacing w:before="120" w:after="120"/>
        <w:ind w:right="140"/>
        <w:jc w:val="center"/>
        <w:rPr>
          <w:sz w:val="25"/>
          <w:szCs w:val="25"/>
        </w:rPr>
      </w:pPr>
      <w:r>
        <w:rPr>
          <w:rFonts w:eastAsia="Calibri"/>
          <w:color w:val="000000"/>
          <w:sz w:val="25"/>
          <w:szCs w:val="25"/>
          <w:lang w:eastAsia="en-US"/>
        </w:rPr>
        <w:t>Nome e cargo do representante legal</w:t>
      </w:r>
      <w:r>
        <w:br w:type="page"/>
      </w:r>
    </w:p>
    <w:p>
      <w:pPr>
        <w:pStyle w:val="Normal"/>
        <w:spacing w:before="0" w:after="120"/>
        <w:ind w:right="140"/>
        <w:jc w:val="center"/>
        <w:rPr>
          <w:sz w:val="25"/>
          <w:szCs w:val="25"/>
        </w:rPr>
      </w:pPr>
      <w:r>
        <w:rPr>
          <w:b/>
          <w:sz w:val="25"/>
          <w:szCs w:val="25"/>
        </w:rPr>
        <w:t>ANEXO IV</w:t>
      </w:r>
    </w:p>
    <w:p>
      <w:pPr>
        <w:pStyle w:val="Normal"/>
        <w:spacing w:before="120" w:after="120"/>
        <w:ind w:right="140"/>
        <w:jc w:val="both"/>
        <w:rPr>
          <w:sz w:val="25"/>
          <w:szCs w:val="25"/>
        </w:rPr>
      </w:pPr>
      <w:r>
        <w:rPr>
          <w:sz w:val="25"/>
          <w:szCs w:val="25"/>
        </w:rPr>
        <w:t xml:space="preserve">                       </w:t>
      </w:r>
    </w:p>
    <w:p>
      <w:pPr>
        <w:pStyle w:val="Normal"/>
        <w:spacing w:before="120" w:after="120"/>
        <w:ind w:right="140"/>
        <w:jc w:val="both"/>
        <w:rPr>
          <w:color w:val="FF0000"/>
          <w:sz w:val="25"/>
          <w:szCs w:val="25"/>
        </w:rPr>
      </w:pPr>
      <w:r>
        <w:rPr>
          <w:color w:val="FF0000"/>
          <w:sz w:val="25"/>
          <w:szCs w:val="25"/>
        </w:rPr>
      </w:r>
    </w:p>
    <w:p>
      <w:pPr>
        <w:pStyle w:val="Normal"/>
        <w:spacing w:before="120" w:after="120"/>
        <w:ind w:right="140"/>
        <w:jc w:val="both"/>
        <w:rPr>
          <w:sz w:val="25"/>
          <w:szCs w:val="25"/>
        </w:rPr>
      </w:pPr>
      <w:r>
        <w:rPr>
          <w:rFonts w:eastAsia="Calibri"/>
          <w:color w:val="000000"/>
          <w:sz w:val="25"/>
          <w:szCs w:val="25"/>
          <w:lang w:eastAsia="en-US"/>
        </w:rPr>
        <w:t>(TIMBRE DA EMPRESA)</w:t>
      </w:r>
    </w:p>
    <w:p>
      <w:pPr>
        <w:pStyle w:val="Normal"/>
        <w:spacing w:before="120" w:after="120"/>
        <w:ind w:right="140"/>
        <w:jc w:val="both"/>
        <w:rPr>
          <w:sz w:val="25"/>
          <w:szCs w:val="25"/>
        </w:rPr>
      </w:pPr>
      <w:r>
        <w:rPr>
          <w:rFonts w:eastAsia="Calibri"/>
          <w:color w:val="000000"/>
          <w:sz w:val="25"/>
          <w:szCs w:val="25"/>
          <w:lang w:eastAsia="en-US"/>
        </w:rPr>
        <w:t>Ao Município de Caçapava do Sul-RS.</w:t>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ind w:right="140"/>
        <w:jc w:val="both"/>
        <w:rPr>
          <w:sz w:val="25"/>
          <w:szCs w:val="25"/>
        </w:rPr>
      </w:pPr>
      <w:r>
        <w:rPr>
          <w:b/>
          <w:sz w:val="25"/>
          <w:szCs w:val="25"/>
        </w:rPr>
        <w:t>DECLARAÇÃO DE OBSERVÂNCIA DOS LIMITES LEGAIS (ME/EPP)</w:t>
      </w:r>
    </w:p>
    <w:p>
      <w:pPr>
        <w:pStyle w:val="Normal"/>
        <w:ind w:right="140"/>
        <w:jc w:val="both"/>
        <w:rPr>
          <w:b/>
          <w:sz w:val="25"/>
          <w:szCs w:val="25"/>
        </w:rPr>
      </w:pPr>
      <w:r>
        <w:rPr>
          <w:b/>
          <w:sz w:val="25"/>
          <w:szCs w:val="25"/>
        </w:rPr>
      </w:r>
    </w:p>
    <w:p>
      <w:pPr>
        <w:pStyle w:val="Normal"/>
        <w:spacing w:before="120" w:after="120"/>
        <w:ind w:right="140"/>
        <w:jc w:val="both"/>
        <w:rPr>
          <w:rFonts w:eastAsia="Calibri"/>
          <w:color w:val="000000"/>
          <w:sz w:val="25"/>
          <w:szCs w:val="25"/>
          <w:lang w:eastAsia="en-US"/>
        </w:rPr>
      </w:pPr>
      <w:r>
        <w:rPr>
          <w:rFonts w:eastAsia="Calibri"/>
          <w:color w:val="000000"/>
          <w:sz w:val="25"/>
          <w:szCs w:val="25"/>
          <w:lang w:eastAsia="en-US"/>
        </w:rPr>
      </w:r>
    </w:p>
    <w:p>
      <w:pPr>
        <w:pStyle w:val="Normal"/>
        <w:spacing w:before="120" w:after="120"/>
        <w:ind w:right="140"/>
        <w:jc w:val="both"/>
        <w:rPr>
          <w:sz w:val="25"/>
          <w:szCs w:val="25"/>
        </w:rPr>
      </w:pPr>
      <w:r>
        <w:rPr>
          <w:rFonts w:eastAsia="Calibri"/>
          <w:color w:val="000000"/>
          <w:sz w:val="25"/>
          <w:szCs w:val="25"/>
          <w:lang w:eastAsia="en-US"/>
        </w:rPr>
        <w:t>............................................................, inscrita no CNPJ n° .................., por intermédio de seu representante legal o(a) Sr(a) ...................................................................................... portador(a) da Carteira de Identidade nº ..............................................., DECLARA que</w:t>
      </w:r>
      <w:r>
        <w:rPr>
          <w:sz w:val="25"/>
          <w:szCs w:val="25"/>
        </w:rPr>
        <w:t xml:space="preserve"> está devidamente enquadrada como Microempresa (ME) / Empresa de Pequeno Porte (EPP), nos termos da Lei Complementar nº 123/2006.</w:t>
      </w:r>
    </w:p>
    <w:p>
      <w:pPr>
        <w:pStyle w:val="Normal"/>
        <w:ind w:right="140"/>
        <w:jc w:val="both"/>
        <w:rPr>
          <w:sz w:val="25"/>
          <w:szCs w:val="25"/>
        </w:rPr>
      </w:pPr>
      <w:r>
        <w:rPr>
          <w:sz w:val="25"/>
          <w:szCs w:val="25"/>
        </w:rPr>
      </w:r>
    </w:p>
    <w:p>
      <w:pPr>
        <w:pStyle w:val="Normal"/>
        <w:ind w:right="140"/>
        <w:jc w:val="both"/>
        <w:rPr>
          <w:sz w:val="25"/>
          <w:szCs w:val="25"/>
        </w:rPr>
      </w:pPr>
      <w:r>
        <w:rPr>
          <w:sz w:val="25"/>
          <w:szCs w:val="25"/>
        </w:rPr>
        <w:t>Além do enquadramento como ME/EPP com base no critério econômico (faturamento), declaramos que estamos em conformidade com os limites estabelecidos na Lei nº 14.133/2021 sob o aspecto contratual. Para tanto, informamos que, no ano de realização da presente licitação, a empresa não ultrapassou os limites de faturamento previstos em lei para ME/EPP, considerando todos os negócios firmados, independentemente de os valores amparados pelos contratos terem sido faturados ou não naquele ano.</w:t>
      </w:r>
    </w:p>
    <w:p>
      <w:pPr>
        <w:pStyle w:val="Normal"/>
        <w:ind w:right="140"/>
        <w:jc w:val="both"/>
        <w:rPr>
          <w:sz w:val="25"/>
          <w:szCs w:val="25"/>
        </w:rPr>
      </w:pPr>
      <w:r>
        <w:rPr>
          <w:sz w:val="25"/>
          <w:szCs w:val="25"/>
        </w:rPr>
      </w:r>
    </w:p>
    <w:p>
      <w:pPr>
        <w:pStyle w:val="Normal"/>
        <w:ind w:right="140"/>
        <w:jc w:val="both"/>
        <w:rPr>
          <w:sz w:val="25"/>
          <w:szCs w:val="25"/>
        </w:rPr>
      </w:pPr>
      <w:r>
        <w:rPr>
          <w:sz w:val="25"/>
          <w:szCs w:val="25"/>
        </w:rPr>
        <w:t>Comprometemo-nos a apresentar todos os documentos comprobatórios necessários, caso sejamos selecionados como vencedores da licitação, a fim de comprovar a veracidade das informações acima declaradas.</w:t>
      </w:r>
    </w:p>
    <w:p>
      <w:pPr>
        <w:pStyle w:val="Normal"/>
        <w:ind w:right="140"/>
        <w:jc w:val="both"/>
        <w:rPr>
          <w:sz w:val="25"/>
          <w:szCs w:val="25"/>
        </w:rPr>
      </w:pPr>
      <w:r>
        <w:rPr>
          <w:sz w:val="25"/>
          <w:szCs w:val="25"/>
        </w:rPr>
      </w:r>
    </w:p>
    <w:p>
      <w:pPr>
        <w:pStyle w:val="Normal"/>
        <w:ind w:right="140"/>
        <w:jc w:val="both"/>
        <w:rPr>
          <w:sz w:val="25"/>
          <w:szCs w:val="25"/>
        </w:rPr>
      </w:pPr>
      <w:r>
        <w:rPr>
          <w:sz w:val="25"/>
          <w:szCs w:val="25"/>
        </w:rPr>
        <w:t>Estamos cientes de que a apresentação de informações falsas ou inexatas poderá acarretar a exclusão da empresa do processo de licitação, além das sanções legais cabíveis.</w:t>
      </w:r>
    </w:p>
    <w:p>
      <w:pPr>
        <w:pStyle w:val="Normal"/>
        <w:ind w:right="140"/>
        <w:jc w:val="both"/>
        <w:rPr>
          <w:sz w:val="25"/>
          <w:szCs w:val="25"/>
        </w:rPr>
      </w:pPr>
      <w:r>
        <w:rPr>
          <w:sz w:val="25"/>
          <w:szCs w:val="25"/>
        </w:rPr>
      </w:r>
    </w:p>
    <w:p>
      <w:pPr>
        <w:pStyle w:val="Normal"/>
        <w:spacing w:before="120" w:after="120"/>
        <w:ind w:right="140"/>
        <w:jc w:val="both"/>
        <w:rPr>
          <w:sz w:val="25"/>
          <w:szCs w:val="25"/>
        </w:rPr>
      </w:pPr>
      <w:r>
        <w:rPr>
          <w:rFonts w:eastAsia="Calibri"/>
          <w:color w:val="000000"/>
          <w:sz w:val="25"/>
          <w:szCs w:val="25"/>
          <w:lang w:eastAsia="en-US"/>
        </w:rPr>
        <w:t>[CIDADE], [DATA]</w:t>
      </w:r>
    </w:p>
    <w:p>
      <w:pPr>
        <w:pStyle w:val="Normal"/>
        <w:ind w:right="140"/>
        <w:jc w:val="both"/>
        <w:rPr>
          <w:sz w:val="25"/>
          <w:szCs w:val="25"/>
        </w:rPr>
      </w:pPr>
      <w:r>
        <w:rPr>
          <w:color w:val="000000"/>
          <w:sz w:val="25"/>
          <w:szCs w:val="25"/>
          <w:lang w:eastAsia="en-US"/>
        </w:rPr>
        <w:t xml:space="preserve">                                                                                   </w:t>
      </w:r>
      <w:r>
        <w:rPr>
          <w:rFonts w:eastAsia="Calibri"/>
          <w:color w:val="000000"/>
          <w:sz w:val="25"/>
          <w:szCs w:val="25"/>
          <w:lang w:eastAsia="en-US"/>
        </w:rPr>
        <w:t>Assinatura do representante legal</w:t>
      </w:r>
    </w:p>
    <w:p>
      <w:pPr>
        <w:pStyle w:val="Normal"/>
        <w:ind w:right="140"/>
        <w:jc w:val="both"/>
        <w:rPr>
          <w:sz w:val="25"/>
          <w:szCs w:val="25"/>
        </w:rPr>
      </w:pPr>
      <w:r>
        <w:rPr>
          <w:color w:val="000000"/>
          <w:sz w:val="25"/>
          <w:szCs w:val="25"/>
          <w:lang w:eastAsia="en-US"/>
        </w:rPr>
        <w:t xml:space="preserve">                                                                                   </w:t>
      </w:r>
      <w:r>
        <w:rPr>
          <w:rFonts w:eastAsia="Calibri"/>
          <w:color w:val="000000"/>
          <w:sz w:val="25"/>
          <w:szCs w:val="25"/>
          <w:lang w:eastAsia="en-US"/>
        </w:rPr>
        <w:t>---------------------------------------</w:t>
      </w:r>
    </w:p>
    <w:p>
      <w:pPr>
        <w:pStyle w:val="Normal"/>
        <w:ind w:right="140"/>
        <w:jc w:val="both"/>
        <w:rPr>
          <w:sz w:val="25"/>
          <w:szCs w:val="25"/>
        </w:rPr>
      </w:pPr>
      <w:r>
        <w:rPr>
          <w:color w:val="000000"/>
          <w:sz w:val="25"/>
          <w:szCs w:val="25"/>
          <w:lang w:eastAsia="en-US"/>
        </w:rPr>
        <w:t xml:space="preserve">                                                                                   </w:t>
      </w:r>
      <w:r>
        <w:rPr>
          <w:rFonts w:eastAsia="Calibri"/>
          <w:color w:val="000000"/>
          <w:sz w:val="25"/>
          <w:szCs w:val="25"/>
          <w:lang w:eastAsia="en-US"/>
        </w:rPr>
        <w:t>Nome e cargo do representante legal</w:t>
      </w:r>
    </w:p>
    <w:p>
      <w:pPr>
        <w:pStyle w:val="Normal"/>
        <w:spacing w:before="280" w:after="280"/>
        <w:ind w:right="140"/>
        <w:jc w:val="both"/>
        <w:rPr>
          <w:sz w:val="25"/>
          <w:szCs w:val="25"/>
        </w:rPr>
      </w:pPr>
      <w:r>
        <w:rPr>
          <w:caps/>
          <w:sz w:val="25"/>
          <w:szCs w:val="25"/>
        </w:rPr>
        <w:t xml:space="preserve">                                                        </w:t>
      </w:r>
    </w:p>
    <w:p>
      <w:pPr>
        <w:pStyle w:val="Normal"/>
        <w:spacing w:before="280" w:after="280"/>
        <w:ind w:right="140"/>
        <w:jc w:val="both"/>
        <w:rPr>
          <w:caps/>
          <w:sz w:val="25"/>
          <w:szCs w:val="25"/>
        </w:rPr>
      </w:pPr>
      <w:r>
        <w:rPr>
          <w:caps/>
          <w:sz w:val="25"/>
          <w:szCs w:val="25"/>
        </w:rPr>
      </w:r>
    </w:p>
    <w:p>
      <w:pPr>
        <w:pStyle w:val="Normal"/>
        <w:spacing w:before="280" w:after="280"/>
        <w:ind w:right="140"/>
        <w:jc w:val="both"/>
        <w:rPr>
          <w:caps/>
          <w:sz w:val="25"/>
          <w:szCs w:val="25"/>
        </w:rPr>
      </w:pPr>
      <w:r>
        <w:rPr>
          <w:caps/>
          <w:sz w:val="25"/>
          <w:szCs w:val="25"/>
        </w:rPr>
      </w:r>
    </w:p>
    <w:p>
      <w:pPr>
        <w:pStyle w:val="Normal"/>
        <w:ind w:right="140"/>
        <w:jc w:val="center"/>
        <w:rPr>
          <w:b/>
          <w:bCs/>
          <w:sz w:val="25"/>
          <w:szCs w:val="25"/>
        </w:rPr>
      </w:pPr>
      <w:r>
        <w:rPr>
          <w:b/>
          <w:bCs/>
          <w:sz w:val="25"/>
          <w:szCs w:val="25"/>
        </w:rPr>
      </w:r>
    </w:p>
    <w:p>
      <w:pPr>
        <w:pStyle w:val="Normal"/>
        <w:ind w:right="140"/>
        <w:jc w:val="center"/>
        <w:rPr>
          <w:b/>
          <w:bCs/>
          <w:sz w:val="25"/>
          <w:szCs w:val="25"/>
        </w:rPr>
      </w:pPr>
      <w:r>
        <w:rPr>
          <w:b/>
          <w:bCs/>
          <w:sz w:val="25"/>
          <w:szCs w:val="25"/>
        </w:rPr>
      </w:r>
    </w:p>
    <w:p>
      <w:pPr>
        <w:pStyle w:val="Normal"/>
        <w:ind w:right="140"/>
        <w:jc w:val="center"/>
        <w:rPr>
          <w:sz w:val="25"/>
          <w:szCs w:val="25"/>
        </w:rPr>
      </w:pPr>
      <w:r>
        <w:rPr>
          <w:b/>
          <w:bCs/>
          <w:sz w:val="25"/>
          <w:szCs w:val="25"/>
        </w:rPr>
        <w:t>ANEXO V</w:t>
      </w:r>
    </w:p>
    <w:p>
      <w:pPr>
        <w:pStyle w:val="Normal"/>
        <w:ind w:right="140"/>
        <w:jc w:val="center"/>
        <w:rPr>
          <w:b/>
          <w:bCs/>
          <w:sz w:val="25"/>
          <w:szCs w:val="25"/>
        </w:rPr>
      </w:pPr>
      <w:r>
        <w:rPr>
          <w:b/>
          <w:bCs/>
          <w:sz w:val="25"/>
          <w:szCs w:val="25"/>
        </w:rPr>
      </w:r>
    </w:p>
    <w:p>
      <w:pPr>
        <w:pStyle w:val="Default"/>
        <w:ind w:right="140"/>
        <w:jc w:val="center"/>
        <w:rPr>
          <w:rFonts w:ascii="Times New Roman" w:hAnsi="Times New Roman" w:cs="Times New Roman"/>
        </w:rPr>
      </w:pPr>
      <w:r>
        <w:rPr>
          <w:rFonts w:eastAsia="Symbol" w:cs="Times New Roman" w:ascii="Times New Roman" w:hAnsi="Times New Roman"/>
          <w:b/>
          <w:bCs/>
        </w:rPr>
        <w:t>MINUTA DA ATA DE REGISTRO DE PREÇOS</w:t>
      </w:r>
    </w:p>
    <w:p>
      <w:pPr>
        <w:pStyle w:val="Default"/>
        <w:ind w:right="140"/>
        <w:jc w:val="both"/>
        <w:rPr>
          <w:rFonts w:ascii="Times New Roman" w:hAnsi="Times New Roman" w:eastAsia="Symbol" w:cs="Times New Roman"/>
          <w:b/>
          <w:bCs/>
        </w:rPr>
      </w:pPr>
      <w:r>
        <w:rPr>
          <w:rFonts w:eastAsia="Symbol" w:cs="Times New Roman" w:ascii="Times New Roman" w:hAnsi="Times New Roman"/>
          <w:b/>
          <w:bCs/>
        </w:rPr>
      </w:r>
    </w:p>
    <w:p>
      <w:pPr>
        <w:pStyle w:val="Default"/>
        <w:ind w:right="140"/>
        <w:jc w:val="both"/>
        <w:rPr/>
      </w:pPr>
      <w:r>
        <w:rPr>
          <w:rFonts w:cs="Times New Roman" w:ascii="Times New Roman" w:hAnsi="Times New Roman"/>
          <w:b/>
          <w:bCs/>
        </w:rPr>
        <w:t>Ata de Registro de Preços nº 01/2026</w:t>
      </w:r>
    </w:p>
    <w:p>
      <w:pPr>
        <w:pStyle w:val="Default"/>
        <w:ind w:right="140"/>
        <w:jc w:val="both"/>
        <w:rPr/>
      </w:pPr>
      <w:r>
        <w:rPr>
          <w:rFonts w:cs="Times New Roman" w:ascii="Times New Roman" w:hAnsi="Times New Roman"/>
          <w:b/>
          <w:bCs/>
        </w:rPr>
        <w:t>Edital nº 4035/2026</w:t>
      </w:r>
    </w:p>
    <w:p>
      <w:pPr>
        <w:pStyle w:val="Default"/>
        <w:ind w:right="140"/>
        <w:jc w:val="both"/>
        <w:rPr/>
      </w:pPr>
      <w:r>
        <w:rPr>
          <w:rFonts w:cs="Times New Roman" w:ascii="Times New Roman" w:hAnsi="Times New Roman"/>
          <w:b/>
          <w:bCs/>
        </w:rPr>
        <w:t>Modalidade de Licitação: Registro de Preços/Pregão Eletrônico nº 02/2026</w:t>
      </w:r>
    </w:p>
    <w:p>
      <w:pPr>
        <w:pStyle w:val="Default"/>
        <w:ind w:right="140"/>
        <w:jc w:val="both"/>
        <w:rPr/>
      </w:pPr>
      <w:r>
        <w:rPr>
          <w:rFonts w:cs="Times New Roman" w:ascii="Times New Roman" w:hAnsi="Times New Roman"/>
          <w:b/>
          <w:bCs/>
        </w:rPr>
        <w:t xml:space="preserve">Homologada em: </w:t>
      </w:r>
    </w:p>
    <w:p>
      <w:pPr>
        <w:pStyle w:val="Default"/>
        <w:ind w:right="140"/>
        <w:jc w:val="both"/>
        <w:rPr/>
      </w:pPr>
      <w:r>
        <w:rPr>
          <w:rFonts w:cs="Times New Roman" w:ascii="Times New Roman" w:hAnsi="Times New Roman"/>
          <w:b/>
          <w:bCs/>
        </w:rPr>
        <w:t xml:space="preserve">Validade da Ata: </w:t>
      </w:r>
    </w:p>
    <w:p>
      <w:pPr>
        <w:pStyle w:val="Default"/>
        <w:ind w:right="140"/>
        <w:jc w:val="both"/>
        <w:rPr>
          <w:rFonts w:ascii="Times New Roman" w:hAnsi="Times New Roman" w:eastAsia="Symbol" w:cs="Times New Roman"/>
        </w:rPr>
      </w:pPr>
      <w:r>
        <w:rPr>
          <w:rFonts w:eastAsia="Symbol" w:cs="Times New Roman" w:ascii="Times New Roman" w:hAnsi="Times New Roman"/>
        </w:rPr>
      </w:r>
    </w:p>
    <w:p>
      <w:pPr>
        <w:pStyle w:val="Default"/>
        <w:ind w:right="140"/>
        <w:jc w:val="both"/>
        <w:rPr>
          <w:rFonts w:ascii="Times New Roman" w:hAnsi="Times New Roman" w:cs="Times New Roman"/>
        </w:rPr>
      </w:pPr>
      <w:r>
        <w:rPr>
          <w:rFonts w:eastAsia="Symbol" w:cs="Times New Roman" w:ascii="Times New Roman" w:hAnsi="Times New Roman"/>
          <w:b/>
          <w:bCs/>
        </w:rPr>
        <w:t xml:space="preserve">OBJETO: </w:t>
      </w:r>
      <w:r>
        <w:rPr>
          <w:rFonts w:cs="Times New Roman" w:ascii="Times New Roman" w:hAnsi="Times New Roman"/>
          <w:b/>
        </w:rPr>
        <w:t>Registro de Preços visando a contratação de empresa especializada para eventual prestação de serviços de corte grama e rastelagem (corte e remoção de grama/mato de áreas verdes, incluindo fornecimento de mão de obra, insumos, equipamentos necessários e adequados para perfeita execução dos serviços) para manutenção e conservação dos Módulos Esportivos e Escolas que compõem a Rede Municipal de Ensino e estão vinculados a Secretaria de Município da Educação, Esportes e Lazer (SMEEL)</w:t>
      </w:r>
      <w:r>
        <w:rPr>
          <w:rFonts w:eastAsia="Symbol" w:cs="Times New Roman" w:ascii="Times New Roman" w:hAnsi="Times New Roman"/>
          <w:b/>
          <w:bCs/>
          <w:iCs/>
        </w:rPr>
        <w:t>.</w:t>
      </w:r>
    </w:p>
    <w:p>
      <w:pPr>
        <w:pStyle w:val="Default"/>
        <w:ind w:right="140"/>
        <w:jc w:val="both"/>
        <w:rPr>
          <w:rFonts w:ascii="Times New Roman" w:hAnsi="Times New Roman" w:eastAsia="Symbol" w:cs="Times New Roman"/>
          <w:b/>
          <w:bCs/>
          <w:iCs/>
        </w:rPr>
      </w:pPr>
      <w:r>
        <w:rPr>
          <w:rFonts w:eastAsia="Symbol" w:cs="Times New Roman" w:ascii="Times New Roman" w:hAnsi="Times New Roman"/>
          <w:b/>
          <w:bCs/>
          <w:iCs/>
        </w:rPr>
      </w:r>
    </w:p>
    <w:p>
      <w:pPr>
        <w:pStyle w:val="Default"/>
        <w:ind w:right="140"/>
        <w:jc w:val="both"/>
        <w:rPr>
          <w:rFonts w:ascii="Times New Roman" w:hAnsi="Times New Roman" w:cs="Times New Roman"/>
        </w:rPr>
      </w:pPr>
      <w:r>
        <w:rPr>
          <w:rFonts w:eastAsia="Symbol" w:cs="Times New Roman" w:ascii="Times New Roman" w:hAnsi="Times New Roman"/>
        </w:rPr>
        <w:t xml:space="preserve">Aos ___ dias de _____ do ano de _____, O MUNICIPIO DE CAÇAPAVA DO SUL, neste ato denominado simplesmente ADQUIRENTE, representada neste instrumento pelo Prefeito Municipal Sr. ________________, CPF N° _______________ nos termos e de acordo com a Lei nº 14.133/2021 e das demais normas legais aplicáveis a espécie, em face da classificação da proposta apresentada no </w:t>
      </w:r>
      <w:r>
        <w:rPr>
          <w:rFonts w:eastAsia="Symbol" w:cs="Times New Roman" w:ascii="Times New Roman" w:hAnsi="Times New Roman"/>
          <w:b/>
          <w:bCs/>
        </w:rPr>
        <w:t xml:space="preserve">Pregão Eletrônico </w:t>
      </w:r>
      <w:r>
        <w:rPr>
          <w:rFonts w:eastAsia="Symbol" w:cs="Times New Roman" w:ascii="Times New Roman" w:hAnsi="Times New Roman"/>
          <w:b/>
          <w:bCs/>
          <w:color w:val="auto"/>
        </w:rPr>
        <w:t>nº 02/2026</w:t>
      </w:r>
      <w:r>
        <w:rPr>
          <w:rFonts w:eastAsia="Symbol" w:cs="Times New Roman" w:ascii="Times New Roman" w:hAnsi="Times New Roman"/>
          <w:color w:val="auto"/>
        </w:rPr>
        <w:t>, cujo resultado foi publicado no Site Oficial do Município na Internet “www.cacapavadosul.rs.gov.br” e homologado</w:t>
      </w:r>
      <w:r>
        <w:rPr>
          <w:rFonts w:eastAsia="Symbol" w:cs="Times New Roman" w:ascii="Times New Roman" w:hAnsi="Times New Roman"/>
        </w:rPr>
        <w:t xml:space="preserve"> pelo Prefeito Municipal de Caçapava do Sul, Sr. Marcelo C. Spode, RESOLVE registrar os preços para a aquisição de material.</w:t>
      </w:r>
    </w:p>
    <w:p>
      <w:pPr>
        <w:pStyle w:val="Default"/>
        <w:ind w:right="140"/>
        <w:jc w:val="both"/>
        <w:rPr>
          <w:rFonts w:ascii="Times New Roman" w:hAnsi="Times New Roman" w:eastAsia="Symbol" w:cs="Times New Roman"/>
          <w:b/>
          <w:bCs/>
        </w:rPr>
      </w:pPr>
      <w:r>
        <w:rPr>
          <w:rFonts w:eastAsia="Symbol" w:cs="Times New Roman" w:ascii="Times New Roman" w:hAnsi="Times New Roman"/>
          <w:b/>
          <w:bCs/>
        </w:rPr>
      </w:r>
    </w:p>
    <w:p>
      <w:pPr>
        <w:pStyle w:val="Default"/>
        <w:ind w:right="140"/>
        <w:jc w:val="both"/>
        <w:rPr>
          <w:rFonts w:ascii="Times New Roman" w:hAnsi="Times New Roman" w:cs="Times New Roman"/>
        </w:rPr>
      </w:pPr>
      <w:r>
        <w:rPr>
          <w:rFonts w:eastAsia="Symbol" w:cs="Times New Roman" w:ascii="Times New Roman" w:hAnsi="Times New Roman"/>
          <w:b/>
          <w:bCs/>
        </w:rPr>
        <w:t>1. DO DETENTOR DA ATA REGISTRADO</w:t>
      </w:r>
    </w:p>
    <w:p>
      <w:pPr>
        <w:pStyle w:val="Default"/>
        <w:ind w:right="140"/>
        <w:jc w:val="both"/>
        <w:rPr>
          <w:rFonts w:ascii="Times New Roman" w:hAnsi="Times New Roman" w:cs="Times New Roman"/>
        </w:rPr>
      </w:pPr>
      <w:r>
        <w:rPr>
          <w:rFonts w:eastAsia="Symbol" w:cs="Times New Roman" w:ascii="Times New Roman" w:hAnsi="Times New Roman"/>
        </w:rPr>
        <w:t>A partir desta data ficam registrados no Setor de Licitações da Prefeitura Municipal de Caçapava do Sul – RS os preços do fornecedor a seguir relacionado, nas condições estabelecidas no ato convocatório.</w:t>
      </w:r>
    </w:p>
    <w:p>
      <w:pPr>
        <w:pStyle w:val="Default"/>
        <w:ind w:right="140"/>
        <w:jc w:val="both"/>
        <w:rPr>
          <w:rFonts w:ascii="Times New Roman" w:hAnsi="Times New Roman" w:cs="Times New Roman"/>
        </w:rPr>
      </w:pPr>
      <w:r>
        <w:rPr>
          <w:rFonts w:eastAsia="Symbol" w:cs="Times New Roman" w:ascii="Times New Roman" w:hAnsi="Times New Roman"/>
        </w:rPr>
        <w:t>Detentor da Ata: (razão social)_____________, CNPJ nº _____________, com sede ___________________, telefone nº ___________, fax nº______________, representada por seu ________, Sr. ___________, (nacionalidade) ___________, (estado civil) ______, residente e domiciliado em ______________</w:t>
      </w:r>
      <w:r>
        <w:rPr>
          <w:rFonts w:eastAsia="Symbol" w:cs="Times New Roman" w:ascii="Times New Roman" w:hAnsi="Times New Roman"/>
          <w:u w:val="single"/>
        </w:rPr>
        <w:t>,</w:t>
      </w:r>
      <w:r>
        <w:rPr>
          <w:rFonts w:eastAsia="Symbol" w:cs="Times New Roman" w:ascii="Times New Roman" w:hAnsi="Times New Roman"/>
        </w:rPr>
        <w:t xml:space="preserve"> RG nº ____________</w:t>
      </w:r>
      <w:r>
        <w:rPr>
          <w:rFonts w:eastAsia="Symbol" w:cs="Times New Roman" w:ascii="Times New Roman" w:hAnsi="Times New Roman"/>
          <w:u w:val="single"/>
        </w:rPr>
        <w:t>,</w:t>
      </w:r>
      <w:r>
        <w:rPr>
          <w:rFonts w:eastAsia="Symbol" w:cs="Times New Roman" w:ascii="Times New Roman" w:hAnsi="Times New Roman"/>
        </w:rPr>
        <w:t xml:space="preserve"> CPF nº ___________</w:t>
      </w:r>
    </w:p>
    <w:p>
      <w:pPr>
        <w:pStyle w:val="Default"/>
        <w:ind w:right="140"/>
        <w:jc w:val="both"/>
        <w:rPr>
          <w:rFonts w:ascii="Times New Roman" w:hAnsi="Times New Roman" w:eastAsia="Symbol" w:cs="Times New Roman"/>
        </w:rPr>
      </w:pPr>
      <w:r>
        <w:rPr>
          <w:rFonts w:eastAsia="Symbol" w:cs="Times New Roman" w:ascii="Times New Roman" w:hAnsi="Times New Roman"/>
        </w:rPr>
      </w:r>
    </w:p>
    <w:p>
      <w:pPr>
        <w:pStyle w:val="Default"/>
        <w:numPr>
          <w:ilvl w:val="0"/>
          <w:numId w:val="5"/>
        </w:numPr>
        <w:ind w:hanging="0" w:left="0" w:right="140"/>
        <w:jc w:val="both"/>
        <w:rPr>
          <w:rFonts w:ascii="Times New Roman" w:hAnsi="Times New Roman" w:cs="Times New Roman"/>
          <w:b/>
        </w:rPr>
      </w:pPr>
      <w:r>
        <w:rPr>
          <w:rFonts w:cs="Times New Roman" w:ascii="Times New Roman" w:hAnsi="Times New Roman"/>
          <w:b/>
        </w:rPr>
        <w:t>DOS PREÇOS REGISTRADOS</w:t>
      </w:r>
    </w:p>
    <w:tbl>
      <w:tblPr>
        <w:tblW w:w="9475" w:type="dxa"/>
        <w:jc w:val="left"/>
        <w:tblInd w:w="1" w:type="dxa"/>
        <w:tblLayout w:type="fixed"/>
        <w:tblCellMar>
          <w:top w:w="0" w:type="dxa"/>
          <w:left w:w="57" w:type="dxa"/>
          <w:bottom w:w="0" w:type="dxa"/>
          <w:right w:w="57" w:type="dxa"/>
        </w:tblCellMar>
        <w:tblLook w:firstRow="0" w:noVBand="0" w:lastRow="0" w:firstColumn="0" w:lastColumn="0" w:noHBand="0" w:val="0000"/>
      </w:tblPr>
      <w:tblGrid>
        <w:gridCol w:w="843"/>
        <w:gridCol w:w="2676"/>
        <w:gridCol w:w="1279"/>
        <w:gridCol w:w="1843"/>
        <w:gridCol w:w="1280"/>
        <w:gridCol w:w="1553"/>
      </w:tblGrid>
      <w:tr>
        <w:trPr/>
        <w:tc>
          <w:tcPr>
            <w:tcW w:w="843" w:type="dxa"/>
            <w:tcBorders>
              <w:top w:val="single" w:sz="4" w:space="0" w:color="000000"/>
              <w:left w:val="single" w:sz="4" w:space="0" w:color="000000"/>
              <w:bottom w:val="single" w:sz="4" w:space="0" w:color="000000"/>
            </w:tcBorders>
            <w:shd w:color="auto" w:fill="auto" w:val="clear"/>
          </w:tcPr>
          <w:p>
            <w:pPr>
              <w:pStyle w:val="Default"/>
              <w:widowControl w:val="false"/>
              <w:ind w:right="170"/>
              <w:jc w:val="center"/>
              <w:rPr>
                <w:rFonts w:ascii="Times New Roman" w:hAnsi="Times New Roman" w:cs="Times New Roman"/>
              </w:rPr>
            </w:pPr>
            <w:r>
              <w:rPr>
                <w:rFonts w:eastAsia="Symbol" w:cs="Times New Roman" w:ascii="Times New Roman" w:hAnsi="Times New Roman"/>
              </w:rPr>
              <w:t>Item</w:t>
            </w:r>
          </w:p>
        </w:tc>
        <w:tc>
          <w:tcPr>
            <w:tcW w:w="2676" w:type="dxa"/>
            <w:tcBorders>
              <w:top w:val="single" w:sz="4" w:space="0" w:color="000000"/>
              <w:left w:val="single" w:sz="4" w:space="0" w:color="000000"/>
              <w:bottom w:val="single" w:sz="4" w:space="0" w:color="000000"/>
            </w:tcBorders>
            <w:shd w:color="auto" w:fill="auto" w:val="clear"/>
          </w:tcPr>
          <w:p>
            <w:pPr>
              <w:pStyle w:val="Default"/>
              <w:widowControl w:val="false"/>
              <w:ind w:right="170"/>
              <w:jc w:val="center"/>
              <w:rPr>
                <w:rFonts w:ascii="Times New Roman" w:hAnsi="Times New Roman" w:cs="Times New Roman"/>
              </w:rPr>
            </w:pPr>
            <w:r>
              <w:rPr>
                <w:rFonts w:eastAsia="Symbol" w:cs="Times New Roman" w:ascii="Times New Roman" w:hAnsi="Times New Roman"/>
              </w:rPr>
              <w:t>Descrição</w:t>
            </w:r>
          </w:p>
        </w:tc>
        <w:tc>
          <w:tcPr>
            <w:tcW w:w="1279" w:type="dxa"/>
            <w:tcBorders>
              <w:top w:val="single" w:sz="4" w:space="0" w:color="000000"/>
              <w:left w:val="single" w:sz="4" w:space="0" w:color="000000"/>
              <w:bottom w:val="single" w:sz="4" w:space="0" w:color="000000"/>
            </w:tcBorders>
            <w:shd w:color="auto" w:fill="auto" w:val="clear"/>
          </w:tcPr>
          <w:p>
            <w:pPr>
              <w:pStyle w:val="Default"/>
              <w:widowControl w:val="false"/>
              <w:ind w:right="170"/>
              <w:jc w:val="center"/>
              <w:rPr>
                <w:rFonts w:ascii="Times New Roman" w:hAnsi="Times New Roman" w:cs="Times New Roman"/>
              </w:rPr>
            </w:pPr>
            <w:r>
              <w:rPr>
                <w:rFonts w:eastAsia="Symbol" w:cs="Times New Roman" w:ascii="Times New Roman" w:hAnsi="Times New Roman"/>
              </w:rPr>
              <w:t>Unidade</w:t>
            </w:r>
          </w:p>
        </w:tc>
        <w:tc>
          <w:tcPr>
            <w:tcW w:w="1843" w:type="dxa"/>
            <w:tcBorders>
              <w:top w:val="single" w:sz="4" w:space="0" w:color="000000"/>
              <w:left w:val="single" w:sz="4" w:space="0" w:color="000000"/>
              <w:bottom w:val="single" w:sz="4" w:space="0" w:color="000000"/>
            </w:tcBorders>
            <w:shd w:color="auto" w:fill="auto" w:val="clear"/>
          </w:tcPr>
          <w:p>
            <w:pPr>
              <w:pStyle w:val="Default"/>
              <w:widowControl w:val="false"/>
              <w:ind w:right="397"/>
              <w:jc w:val="center"/>
              <w:rPr>
                <w:rFonts w:ascii="Times New Roman" w:hAnsi="Times New Roman" w:cs="Times New Roman"/>
              </w:rPr>
            </w:pPr>
            <w:r>
              <w:rPr>
                <w:rFonts w:eastAsia="Symbol" w:cs="Times New Roman" w:ascii="Times New Roman" w:hAnsi="Times New Roman"/>
              </w:rPr>
              <w:t>Quantidade</w:t>
            </w:r>
          </w:p>
          <w:p>
            <w:pPr>
              <w:pStyle w:val="Default"/>
              <w:widowControl w:val="false"/>
              <w:ind w:right="397"/>
              <w:jc w:val="center"/>
              <w:rPr>
                <w:rFonts w:ascii="Times New Roman" w:hAnsi="Times New Roman" w:cs="Times New Roman"/>
              </w:rPr>
            </w:pPr>
            <w:r>
              <w:rPr>
                <w:rFonts w:eastAsia="Symbol" w:cs="Times New Roman" w:ascii="Times New Roman" w:hAnsi="Times New Roman"/>
              </w:rPr>
              <w:t>estimada</w:t>
            </w:r>
          </w:p>
        </w:tc>
        <w:tc>
          <w:tcPr>
            <w:tcW w:w="1280" w:type="dxa"/>
            <w:tcBorders>
              <w:top w:val="single" w:sz="4" w:space="0" w:color="000000"/>
              <w:left w:val="single" w:sz="4" w:space="0" w:color="000000"/>
              <w:bottom w:val="single" w:sz="4" w:space="0" w:color="000000"/>
            </w:tcBorders>
            <w:shd w:color="auto" w:fill="auto" w:val="clear"/>
          </w:tcPr>
          <w:p>
            <w:pPr>
              <w:pStyle w:val="Default"/>
              <w:widowControl w:val="false"/>
              <w:ind w:right="57"/>
              <w:jc w:val="center"/>
              <w:rPr>
                <w:rFonts w:ascii="Times New Roman" w:hAnsi="Times New Roman" w:cs="Times New Roman"/>
              </w:rPr>
            </w:pPr>
            <w:r>
              <w:rPr>
                <w:rFonts w:eastAsia="Symbol" w:cs="Times New Roman" w:ascii="Times New Roman" w:hAnsi="Times New Roman"/>
              </w:rPr>
              <w:t>Valor unitário</w:t>
            </w:r>
          </w:p>
        </w:tc>
        <w:tc>
          <w:tcPr>
            <w:tcW w:w="1553" w:type="dxa"/>
            <w:tcBorders>
              <w:top w:val="single" w:sz="4" w:space="0" w:color="000000"/>
              <w:left w:val="single" w:sz="4" w:space="0" w:color="000000"/>
              <w:bottom w:val="single" w:sz="4" w:space="0" w:color="000000"/>
            </w:tcBorders>
            <w:shd w:color="auto" w:fill="auto" w:val="clear"/>
          </w:tcPr>
          <w:p>
            <w:pPr>
              <w:pStyle w:val="Default"/>
              <w:widowControl w:val="false"/>
              <w:ind w:right="170"/>
              <w:jc w:val="center"/>
              <w:rPr>
                <w:rFonts w:ascii="Times New Roman" w:hAnsi="Times New Roman" w:cs="Times New Roman"/>
              </w:rPr>
            </w:pPr>
            <w:r>
              <w:rPr>
                <w:rFonts w:eastAsia="Symbol" w:cs="Times New Roman" w:ascii="Times New Roman" w:hAnsi="Times New Roman"/>
              </w:rPr>
              <w:t>Valor</w:t>
            </w:r>
          </w:p>
          <w:p>
            <w:pPr>
              <w:pStyle w:val="Default"/>
              <w:widowControl w:val="false"/>
              <w:ind w:right="170"/>
              <w:jc w:val="center"/>
              <w:rPr>
                <w:rFonts w:ascii="Times New Roman" w:hAnsi="Times New Roman" w:cs="Times New Roman"/>
              </w:rPr>
            </w:pPr>
            <w:r>
              <w:rPr>
                <w:rFonts w:eastAsia="Symbol" w:cs="Times New Roman" w:ascii="Times New Roman" w:hAnsi="Times New Roman"/>
              </w:rPr>
              <w:t>total</w:t>
            </w:r>
          </w:p>
        </w:tc>
      </w:tr>
      <w:tr>
        <w:trPr/>
        <w:tc>
          <w:tcPr>
            <w:tcW w:w="843"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2676"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279"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843"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280"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553"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r>
      <w:tr>
        <w:trPr/>
        <w:tc>
          <w:tcPr>
            <w:tcW w:w="843"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2676"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279"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843"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280"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553" w:type="dxa"/>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r>
      <w:tr>
        <w:trPr/>
        <w:tc>
          <w:tcPr>
            <w:tcW w:w="7921" w:type="dxa"/>
            <w:gridSpan w:val="5"/>
            <w:tcBorders>
              <w:left w:val="single" w:sz="4" w:space="0" w:color="000000"/>
              <w:bottom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TOTAL REGISTRADO</w:t>
            </w:r>
          </w:p>
        </w:tc>
        <w:tc>
          <w:tcPr>
            <w:tcW w:w="1553" w:type="dxa"/>
            <w:tcBorders>
              <w:left w:val="single" w:sz="4" w:space="0" w:color="000000"/>
              <w:bottom w:val="single" w:sz="4" w:space="0" w:color="000000"/>
              <w:right w:val="single" w:sz="4" w:space="0" w:color="000000"/>
            </w:tcBorders>
            <w:shd w:color="auto" w:fill="auto" w:val="clear"/>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t>R$</w:t>
            </w:r>
          </w:p>
        </w:tc>
      </w:tr>
    </w:tbl>
    <w:p>
      <w:pPr>
        <w:pStyle w:val="Default"/>
        <w:ind w:right="140"/>
        <w:jc w:val="both"/>
        <w:rPr>
          <w:rFonts w:ascii="Times New Roman" w:hAnsi="Times New Roman" w:eastAsia="Symbol" w:cs="Times New Roman"/>
          <w:b/>
          <w:bCs/>
        </w:rPr>
      </w:pPr>
      <w:r>
        <w:rPr>
          <w:rFonts w:eastAsia="Symbol" w:cs="Times New Roman" w:ascii="Times New Roman" w:hAnsi="Times New Roman"/>
          <w:b/>
          <w:bCs/>
        </w:rPr>
      </w:r>
    </w:p>
    <w:p>
      <w:pPr>
        <w:pStyle w:val="Default"/>
        <w:ind w:right="142"/>
        <w:jc w:val="both"/>
        <w:rPr>
          <w:rFonts w:ascii="Times New Roman" w:hAnsi="Times New Roman" w:cs="Times New Roman"/>
        </w:rPr>
      </w:pPr>
      <w:r>
        <w:rPr>
          <w:rFonts w:eastAsia="Symbol" w:cs="Times New Roman" w:ascii="Times New Roman" w:hAnsi="Times New Roman"/>
          <w:b/>
          <w:bCs/>
        </w:rPr>
        <w:t>3. DA VIGÊNCIA DA ATA</w:t>
      </w:r>
    </w:p>
    <w:p>
      <w:pPr>
        <w:pStyle w:val="Default"/>
        <w:ind w:right="142"/>
        <w:jc w:val="both"/>
        <w:rPr>
          <w:rFonts w:ascii="Times New Roman" w:hAnsi="Times New Roman" w:cs="Times New Roman"/>
        </w:rPr>
      </w:pPr>
      <w:r>
        <w:rPr>
          <w:rFonts w:eastAsia="Symbol" w:cs="Times New Roman" w:ascii="Times New Roman" w:hAnsi="Times New Roman"/>
        </w:rPr>
        <w:t xml:space="preserve">A presente Ata de Registro de Preços terá a validade de 12 (doze) meses, a contar da sua assinatura, </w:t>
      </w:r>
      <w:r>
        <w:rPr>
          <w:rFonts w:cs="Times New Roman" w:ascii="Times New Roman" w:hAnsi="Times New Roman"/>
        </w:rPr>
        <w:t>podendo ser prorrogado por igual período, desde que demonstrada a vantajosidade do preço</w:t>
      </w:r>
      <w:r>
        <w:rPr>
          <w:rFonts w:eastAsia="Symbol" w:cs="Times New Roman" w:ascii="Times New Roman" w:hAnsi="Times New Roman"/>
        </w:rPr>
        <w:t>.  A existência de preços registrados não obriga esta Administração a firmar as contratações que deles poderão advir, facultando-se a realização de licitação específica para o objeto pretendido, sendo assegurado ao detentor do registro preferência na execução dos serviços em igualdade de condições.</w:t>
      </w:r>
    </w:p>
    <w:p>
      <w:pPr>
        <w:pStyle w:val="Default"/>
        <w:ind w:right="142"/>
        <w:jc w:val="both"/>
        <w:rPr>
          <w:rFonts w:ascii="Times New Roman" w:hAnsi="Times New Roman" w:eastAsia="Symbol" w:cs="Times New Roman"/>
          <w:b/>
          <w:bCs/>
        </w:rPr>
      </w:pPr>
      <w:r>
        <w:rPr>
          <w:rFonts w:eastAsia="Symbol" w:cs="Times New Roman" w:ascii="Times New Roman" w:hAnsi="Times New Roman"/>
          <w:b/>
          <w:bCs/>
        </w:rPr>
      </w:r>
    </w:p>
    <w:p>
      <w:pPr>
        <w:pStyle w:val="Default"/>
        <w:ind w:right="142"/>
        <w:jc w:val="both"/>
        <w:rPr>
          <w:rFonts w:ascii="Times New Roman" w:hAnsi="Times New Roman" w:cs="Times New Roman"/>
        </w:rPr>
      </w:pPr>
      <w:r>
        <w:rPr>
          <w:rFonts w:eastAsia="Symbol" w:cs="Times New Roman" w:ascii="Times New Roman" w:hAnsi="Times New Roman"/>
          <w:b/>
          <w:bCs/>
        </w:rPr>
        <w:t>4. DA EXECUÇÃO DA ATA</w:t>
      </w:r>
    </w:p>
    <w:p>
      <w:pPr>
        <w:pStyle w:val="Default"/>
        <w:ind w:right="142"/>
        <w:jc w:val="both"/>
        <w:rPr>
          <w:rFonts w:ascii="Times New Roman" w:hAnsi="Times New Roman" w:cs="Times New Roman"/>
        </w:rPr>
      </w:pPr>
      <w:r>
        <w:rPr>
          <w:rFonts w:eastAsia="Symbol" w:cs="Times New Roman" w:ascii="Times New Roman" w:hAnsi="Times New Roman"/>
        </w:rPr>
        <w:t>Durante a execução da ata deverá ser observado o disposto no Edital de Pregão Eletrônico por Registro de Preços e seus anexos.</w:t>
      </w:r>
    </w:p>
    <w:p>
      <w:pPr>
        <w:pStyle w:val="Default"/>
        <w:ind w:right="142"/>
        <w:jc w:val="both"/>
        <w:rPr>
          <w:rFonts w:ascii="Times New Roman" w:hAnsi="Times New Roman" w:eastAsia="Symbol" w:cs="Times New Roman"/>
        </w:rPr>
      </w:pPr>
      <w:r>
        <w:rPr>
          <w:rFonts w:eastAsia="Symbol" w:cs="Times New Roman" w:ascii="Times New Roman" w:hAnsi="Times New Roman"/>
        </w:rPr>
      </w:r>
    </w:p>
    <w:p>
      <w:pPr>
        <w:pStyle w:val="Default"/>
        <w:ind w:right="142"/>
        <w:jc w:val="both"/>
        <w:rPr>
          <w:rFonts w:ascii="Times New Roman" w:hAnsi="Times New Roman" w:cs="Times New Roman"/>
        </w:rPr>
      </w:pPr>
      <w:r>
        <w:rPr>
          <w:rFonts w:eastAsia="Symbol" w:cs="Times New Roman" w:ascii="Times New Roman" w:hAnsi="Times New Roman"/>
          <w:b/>
          <w:bCs/>
        </w:rPr>
        <w:t>5. DO CONTROLE E DAS ALTERAÇÕES DE PREÇOS</w:t>
      </w:r>
    </w:p>
    <w:p>
      <w:pPr>
        <w:pStyle w:val="Default"/>
        <w:ind w:right="142"/>
        <w:jc w:val="both"/>
        <w:rPr>
          <w:rFonts w:ascii="Times New Roman" w:hAnsi="Times New Roman" w:cs="Times New Roman"/>
        </w:rPr>
      </w:pPr>
      <w:r>
        <w:rPr>
          <w:rFonts w:eastAsia="Symbol" w:cs="Times New Roman" w:ascii="Times New Roman" w:hAnsi="Times New Roman"/>
          <w:b/>
        </w:rPr>
        <w:t>5.1.</w:t>
      </w:r>
      <w:r>
        <w:rPr>
          <w:rFonts w:eastAsia="Symbol" w:cs="Times New Roman" w:ascii="Times New Roman" w:hAnsi="Times New Roman"/>
        </w:rPr>
        <w:t xml:space="preserve"> Durante a vigência da Ata, os preços registrados serão fixos e irreajustáveis, exceto nas hipóteses, devidamente comprovadas, de ocorrência de situação prevista na alínea “d” do inciso II do art. 124 da Lei n.º 11.133/2021 ou de redução dos preços praticados no mercado.</w:t>
      </w:r>
    </w:p>
    <w:p>
      <w:pPr>
        <w:pStyle w:val="Default"/>
        <w:ind w:right="142"/>
        <w:jc w:val="both"/>
        <w:rPr>
          <w:rFonts w:ascii="Times New Roman" w:hAnsi="Times New Roman" w:cs="Times New Roman"/>
        </w:rPr>
      </w:pPr>
      <w:r>
        <w:rPr>
          <w:rFonts w:eastAsia="Symbol" w:cs="Times New Roman" w:ascii="Times New Roman" w:hAnsi="Times New Roman"/>
          <w:b/>
        </w:rPr>
        <w:t xml:space="preserve">5.2. </w:t>
      </w:r>
      <w:r>
        <w:rPr>
          <w:rFonts w:eastAsia="Symbol" w:cs="Times New Roman" w:ascii="Times New Roman" w:hAnsi="Times New Roman"/>
        </w:rPr>
        <w:t>Mesmo comprovada a ocorrência de situação prevista na alínea “d” do inciso II do art. 124 da Lei n.º 14.133/2021, a Administração, se julgar conveniente, poderá optar por cancelar a Ata e iniciar outro processo licitatório.</w:t>
      </w:r>
    </w:p>
    <w:p>
      <w:pPr>
        <w:pStyle w:val="Default"/>
        <w:ind w:right="142"/>
        <w:jc w:val="both"/>
        <w:rPr>
          <w:rFonts w:ascii="Times New Roman" w:hAnsi="Times New Roman" w:cs="Times New Roman"/>
        </w:rPr>
      </w:pPr>
      <w:r>
        <w:rPr>
          <w:rFonts w:eastAsia="Symbol" w:cs="Times New Roman" w:ascii="Times New Roman" w:hAnsi="Times New Roman"/>
          <w:b/>
        </w:rPr>
        <w:t xml:space="preserve">5.3. </w:t>
      </w:r>
      <w:r>
        <w:rPr>
          <w:rFonts w:eastAsia="Symbol" w:cs="Times New Roman" w:ascii="Times New Roman" w:hAnsi="Times New Roman"/>
        </w:rPr>
        <w:t>Comprovada a redução dos preços praticados no mercado nas mesmas condições do registro, e, definido o novo preço máximo a ser pago pela Administração, o detentor da Ata será notificado pela Administração Municipal para ciência e cumprimento, conforme documento formal do responsável pela Ata de Registro de Preços.</w:t>
      </w:r>
    </w:p>
    <w:p>
      <w:pPr>
        <w:pStyle w:val="Default"/>
        <w:ind w:right="142"/>
        <w:jc w:val="both"/>
        <w:rPr>
          <w:rFonts w:ascii="Times New Roman" w:hAnsi="Times New Roman" w:eastAsia="Symbol" w:cs="Times New Roman"/>
        </w:rPr>
      </w:pPr>
      <w:r>
        <w:rPr>
          <w:rFonts w:eastAsia="Symbol" w:cs="Times New Roman" w:ascii="Times New Roman" w:hAnsi="Times New Roman"/>
        </w:rPr>
      </w:r>
    </w:p>
    <w:p>
      <w:pPr>
        <w:pStyle w:val="Default"/>
        <w:ind w:right="142"/>
        <w:jc w:val="both"/>
        <w:rPr>
          <w:rFonts w:ascii="Times New Roman" w:hAnsi="Times New Roman" w:cs="Times New Roman"/>
        </w:rPr>
      </w:pPr>
      <w:r>
        <w:rPr>
          <w:rFonts w:eastAsia="Symbol" w:cs="Times New Roman" w:ascii="Times New Roman" w:hAnsi="Times New Roman"/>
          <w:b/>
          <w:bCs/>
        </w:rPr>
        <w:t>6. DO CANCELAMENTO DO REGISTRO DE PREÇO</w:t>
      </w:r>
    </w:p>
    <w:p>
      <w:pPr>
        <w:pStyle w:val="Default"/>
        <w:ind w:right="142"/>
        <w:jc w:val="both"/>
        <w:rPr>
          <w:rFonts w:ascii="Times New Roman" w:hAnsi="Times New Roman" w:cs="Times New Roman"/>
        </w:rPr>
      </w:pPr>
      <w:r>
        <w:rPr>
          <w:rFonts w:eastAsia="Symbol" w:cs="Times New Roman" w:ascii="Times New Roman" w:hAnsi="Times New Roman"/>
          <w:b/>
        </w:rPr>
        <w:t>6.1.</w:t>
      </w:r>
      <w:r>
        <w:rPr>
          <w:rFonts w:eastAsia="Symbol" w:cs="Times New Roman" w:ascii="Times New Roman" w:hAnsi="Times New Roman"/>
        </w:rPr>
        <w:t xml:space="preserve"> O detentor da Ata terá o seu registro de preços cancelado, por intermédio de processo administrativo específico, assegurado o contraditório e a ampla defesa:</w:t>
      </w:r>
    </w:p>
    <w:p>
      <w:pPr>
        <w:pStyle w:val="Default"/>
        <w:ind w:right="142"/>
        <w:jc w:val="both"/>
        <w:rPr>
          <w:rFonts w:ascii="Times New Roman" w:hAnsi="Times New Roman" w:cs="Times New Roman"/>
        </w:rPr>
      </w:pPr>
      <w:r>
        <w:rPr>
          <w:rFonts w:eastAsia="Symbol" w:cs="Times New Roman" w:ascii="Times New Roman" w:hAnsi="Times New Roman"/>
          <w:b/>
        </w:rPr>
        <w:t>6.1.1.</w:t>
      </w:r>
      <w:r>
        <w:rPr>
          <w:rFonts w:eastAsia="Symbol" w:cs="Times New Roman" w:ascii="Times New Roman" w:hAnsi="Times New Roman"/>
        </w:rPr>
        <w:t xml:space="preserve"> A pedido, quando:</w:t>
      </w:r>
    </w:p>
    <w:p>
      <w:pPr>
        <w:pStyle w:val="Default"/>
        <w:ind w:right="142"/>
        <w:jc w:val="both"/>
        <w:rPr>
          <w:rFonts w:ascii="Times New Roman" w:hAnsi="Times New Roman" w:cs="Times New Roman"/>
        </w:rPr>
      </w:pPr>
      <w:r>
        <w:rPr>
          <w:rFonts w:eastAsia="Symbol" w:cs="Times New Roman" w:ascii="Times New Roman" w:hAnsi="Times New Roman"/>
        </w:rPr>
        <w:t>a) Comprovar estar impossibilitado de cumprir as exigências da Ata, por ocorrência de casos fortuitos ou de força maior; e</w:t>
      </w:r>
    </w:p>
    <w:p>
      <w:pPr>
        <w:pStyle w:val="Default"/>
        <w:ind w:right="142"/>
        <w:jc w:val="both"/>
        <w:rPr>
          <w:rFonts w:ascii="Times New Roman" w:hAnsi="Times New Roman" w:cs="Times New Roman"/>
        </w:rPr>
      </w:pPr>
      <w:r>
        <w:rPr>
          <w:rFonts w:eastAsia="Symbol" w:cs="Times New Roman" w:ascii="Times New Roman" w:hAnsi="Times New Roman"/>
        </w:rPr>
        <w:t>b) O seu preço registrado se tornar, comprovadamente, inexequível em função da elevação dos preços de mercado.</w:t>
      </w:r>
    </w:p>
    <w:p>
      <w:pPr>
        <w:pStyle w:val="Default"/>
        <w:ind w:right="142"/>
        <w:jc w:val="both"/>
        <w:rPr>
          <w:rFonts w:ascii="Times New Roman" w:hAnsi="Times New Roman" w:cs="Times New Roman"/>
        </w:rPr>
      </w:pPr>
      <w:r>
        <w:rPr>
          <w:rFonts w:eastAsia="Symbol" w:cs="Times New Roman" w:ascii="Times New Roman" w:hAnsi="Times New Roman"/>
          <w:b/>
        </w:rPr>
        <w:t xml:space="preserve">6.1.2. </w:t>
      </w:r>
      <w:r>
        <w:rPr>
          <w:rFonts w:eastAsia="Symbol" w:cs="Times New Roman" w:ascii="Times New Roman" w:hAnsi="Times New Roman"/>
        </w:rPr>
        <w:t>Por iniciativa da Administração Municipal:</w:t>
      </w:r>
    </w:p>
    <w:p>
      <w:pPr>
        <w:pStyle w:val="Default"/>
        <w:ind w:right="142"/>
        <w:jc w:val="both"/>
        <w:rPr>
          <w:rFonts w:ascii="Times New Roman" w:hAnsi="Times New Roman" w:cs="Times New Roman"/>
        </w:rPr>
      </w:pPr>
      <w:r>
        <w:rPr>
          <w:rFonts w:eastAsia="Symbol" w:cs="Times New Roman" w:ascii="Times New Roman" w:hAnsi="Times New Roman"/>
        </w:rPr>
        <w:t>a) quando o detentor da ata não aceitar reduzir o preço registrado, na hipótese deste se tornar superior àqueles praticados no mercado;</w:t>
      </w:r>
    </w:p>
    <w:p>
      <w:pPr>
        <w:pStyle w:val="Default"/>
        <w:ind w:right="142"/>
        <w:jc w:val="both"/>
        <w:rPr>
          <w:rFonts w:ascii="Times New Roman" w:hAnsi="Times New Roman" w:cs="Times New Roman"/>
        </w:rPr>
      </w:pPr>
      <w:r>
        <w:rPr>
          <w:rFonts w:eastAsia="Symbol" w:cs="Times New Roman" w:ascii="Times New Roman" w:hAnsi="Times New Roman"/>
        </w:rPr>
        <w:t>b) Não mantiver as condições de habilitação ou qualificação técnica exigida no processo licitatório;</w:t>
      </w:r>
    </w:p>
    <w:p>
      <w:pPr>
        <w:pStyle w:val="Default"/>
        <w:ind w:right="142"/>
        <w:jc w:val="both"/>
        <w:rPr>
          <w:rFonts w:ascii="Times New Roman" w:hAnsi="Times New Roman" w:cs="Times New Roman"/>
        </w:rPr>
      </w:pPr>
      <w:r>
        <w:rPr>
          <w:rFonts w:eastAsia="Symbol" w:cs="Times New Roman" w:ascii="Times New Roman" w:hAnsi="Times New Roman"/>
        </w:rPr>
        <w:t>c) Por razões de interesse público, devidamente motivadas e justificadas;</w:t>
      </w:r>
    </w:p>
    <w:p>
      <w:pPr>
        <w:pStyle w:val="Default"/>
        <w:ind w:right="142"/>
        <w:jc w:val="both"/>
        <w:rPr>
          <w:rFonts w:ascii="Times New Roman" w:hAnsi="Times New Roman" w:cs="Times New Roman"/>
        </w:rPr>
      </w:pPr>
      <w:r>
        <w:rPr>
          <w:rFonts w:eastAsia="Symbol" w:cs="Times New Roman" w:ascii="Times New Roman" w:hAnsi="Times New Roman"/>
        </w:rPr>
        <w:t>d) Não cumprir as obrigações decorrentes da Ata de Registro de Preços;</w:t>
      </w:r>
    </w:p>
    <w:p>
      <w:pPr>
        <w:pStyle w:val="Default"/>
        <w:ind w:right="142"/>
        <w:jc w:val="both"/>
        <w:rPr>
          <w:rFonts w:ascii="Times New Roman" w:hAnsi="Times New Roman" w:cs="Times New Roman"/>
        </w:rPr>
      </w:pPr>
      <w:r>
        <w:rPr>
          <w:rFonts w:eastAsia="Symbol" w:cs="Times New Roman" w:ascii="Times New Roman" w:hAnsi="Times New Roman"/>
        </w:rPr>
        <w:t>e) Se recusar a fornecer os materiais nos prazos estabelecidos no Edital e seus anexos;</w:t>
      </w:r>
    </w:p>
    <w:p>
      <w:pPr>
        <w:pStyle w:val="Default"/>
        <w:ind w:right="142"/>
        <w:jc w:val="both"/>
        <w:rPr>
          <w:rFonts w:ascii="Times New Roman" w:hAnsi="Times New Roman" w:cs="Times New Roman"/>
        </w:rPr>
      </w:pPr>
      <w:r>
        <w:rPr>
          <w:rFonts w:eastAsia="Symbol" w:cs="Times New Roman" w:ascii="Times New Roman" w:hAnsi="Times New Roman"/>
        </w:rPr>
        <w:t>f) Na ocorrência de inexecução total ou parcial das condições estabelecidas na Ata de Registro de Preços ou nos pedidos dela decorrentes.</w:t>
      </w:r>
    </w:p>
    <w:p>
      <w:pPr>
        <w:pStyle w:val="Default"/>
        <w:ind w:right="142"/>
        <w:jc w:val="both"/>
        <w:rPr>
          <w:rFonts w:ascii="Times New Roman" w:hAnsi="Times New Roman" w:eastAsia="Symbol" w:cs="Times New Roman"/>
          <w:b/>
          <w:bCs/>
        </w:rPr>
      </w:pPr>
      <w:r>
        <w:rPr>
          <w:rFonts w:eastAsia="Symbol" w:cs="Times New Roman" w:ascii="Times New Roman" w:hAnsi="Times New Roman"/>
          <w:b/>
          <w:bCs/>
        </w:rPr>
      </w:r>
    </w:p>
    <w:p>
      <w:pPr>
        <w:pStyle w:val="Default"/>
        <w:ind w:right="142"/>
        <w:jc w:val="both"/>
        <w:rPr>
          <w:rFonts w:ascii="Times New Roman" w:hAnsi="Times New Roman" w:cs="Times New Roman"/>
        </w:rPr>
      </w:pPr>
      <w:r>
        <w:rPr>
          <w:rFonts w:eastAsia="Symbol" w:cs="Times New Roman" w:ascii="Times New Roman" w:hAnsi="Times New Roman"/>
          <w:b/>
          <w:bCs/>
        </w:rPr>
        <w:t>7. DO CANCELAMENTO AUTOMÁTICO DO REGISTRO DE PREÇOS</w:t>
      </w:r>
    </w:p>
    <w:p>
      <w:pPr>
        <w:pStyle w:val="Default"/>
        <w:ind w:right="142"/>
        <w:jc w:val="both"/>
        <w:rPr>
          <w:rFonts w:ascii="Times New Roman" w:hAnsi="Times New Roman" w:cs="Times New Roman"/>
        </w:rPr>
      </w:pPr>
      <w:r>
        <w:rPr>
          <w:rFonts w:eastAsia="Symbol" w:cs="Times New Roman" w:ascii="Times New Roman" w:hAnsi="Times New Roman"/>
          <w:b/>
        </w:rPr>
        <w:t>7.1.</w:t>
      </w:r>
      <w:r>
        <w:rPr>
          <w:rFonts w:eastAsia="Symbol" w:cs="Times New Roman" w:ascii="Times New Roman" w:hAnsi="Times New Roman"/>
        </w:rPr>
        <w:t xml:space="preserve"> A Ata de Registro de Preços, decorrente desta licitação, será cancelada automaticamente:</w:t>
      </w:r>
    </w:p>
    <w:p>
      <w:pPr>
        <w:pStyle w:val="Default"/>
        <w:ind w:right="142"/>
        <w:jc w:val="both"/>
        <w:rPr>
          <w:rFonts w:ascii="Times New Roman" w:hAnsi="Times New Roman" w:cs="Times New Roman"/>
        </w:rPr>
      </w:pPr>
      <w:r>
        <w:rPr>
          <w:rFonts w:eastAsia="Symbol" w:cs="Times New Roman" w:ascii="Times New Roman" w:hAnsi="Times New Roman"/>
        </w:rPr>
        <w:t>a) Por decurso de prazo de vigência.</w:t>
      </w:r>
    </w:p>
    <w:p>
      <w:pPr>
        <w:pStyle w:val="Default"/>
        <w:ind w:right="142"/>
        <w:jc w:val="both"/>
        <w:rPr>
          <w:rFonts w:ascii="Times New Roman" w:hAnsi="Times New Roman" w:cs="Times New Roman"/>
        </w:rPr>
      </w:pPr>
      <w:r>
        <w:rPr>
          <w:rFonts w:eastAsia="Symbol" w:cs="Times New Roman" w:ascii="Times New Roman" w:hAnsi="Times New Roman"/>
        </w:rPr>
        <w:t>b) Quando não restarem fornecedores registrados.</w:t>
      </w:r>
    </w:p>
    <w:p>
      <w:pPr>
        <w:pStyle w:val="Default"/>
        <w:ind w:right="142"/>
        <w:jc w:val="both"/>
        <w:rPr>
          <w:rFonts w:ascii="Times New Roman" w:hAnsi="Times New Roman" w:eastAsia="Symbol" w:cs="Times New Roman"/>
        </w:rPr>
      </w:pPr>
      <w:r>
        <w:rPr>
          <w:rFonts w:eastAsia="Symbol" w:cs="Times New Roman" w:ascii="Times New Roman" w:hAnsi="Times New Roman"/>
        </w:rPr>
      </w:r>
    </w:p>
    <w:p>
      <w:pPr>
        <w:pStyle w:val="Default"/>
        <w:ind w:right="142"/>
        <w:jc w:val="both"/>
        <w:rPr>
          <w:rFonts w:ascii="Times New Roman" w:hAnsi="Times New Roman" w:cs="Times New Roman"/>
        </w:rPr>
      </w:pPr>
      <w:r>
        <w:rPr>
          <w:rFonts w:eastAsia="Symbol" w:cs="Times New Roman" w:ascii="Times New Roman" w:hAnsi="Times New Roman"/>
          <w:b/>
          <w:bCs/>
        </w:rPr>
        <w:t>8. DO PAGAMENTO</w:t>
      </w:r>
    </w:p>
    <w:p>
      <w:pPr>
        <w:pStyle w:val="Recuodecorpodetexto32"/>
        <w:spacing w:before="0" w:after="0"/>
        <w:ind w:left="0" w:right="142"/>
        <w:jc w:val="both"/>
        <w:rPr>
          <w:sz w:val="24"/>
          <w:szCs w:val="24"/>
        </w:rPr>
      </w:pPr>
      <w:r>
        <w:rPr>
          <w:rFonts w:eastAsia="Symbol"/>
          <w:b/>
          <w:sz w:val="24"/>
          <w:szCs w:val="24"/>
        </w:rPr>
        <w:t>8.1.</w:t>
      </w:r>
      <w:r>
        <w:rPr>
          <w:rFonts w:eastAsia="Symbol"/>
          <w:sz w:val="24"/>
          <w:szCs w:val="24"/>
        </w:rPr>
        <w:t xml:space="preserve"> O pagamento será efetuado em até 30 (trinta) dias após, a contar da realização dos serviços. </w:t>
      </w:r>
      <w:r>
        <w:rPr>
          <w:sz w:val="24"/>
          <w:szCs w:val="24"/>
        </w:rPr>
        <w:t>Ocorrendo atraso no pagamento em prazo superior a 30 (trinta) dias, os valores serão corrigidos monetariamente pelo INPC do período, ou outro índice que vier a substituí-lo, e a Administração compensará a contratada com juros de 0,5% (meio por cento) ao mês, pro rata.</w:t>
      </w:r>
    </w:p>
    <w:p>
      <w:pPr>
        <w:pStyle w:val="Normal"/>
        <w:ind w:right="142"/>
        <w:jc w:val="both"/>
        <w:rPr>
          <w:sz w:val="24"/>
        </w:rPr>
      </w:pPr>
      <w:r>
        <w:rPr>
          <w:b/>
          <w:sz w:val="24"/>
          <w:lang w:val="es-ES_tradnl"/>
        </w:rPr>
        <w:t>8.2.</w:t>
      </w:r>
      <w:r>
        <w:rPr>
          <w:sz w:val="24"/>
          <w:lang w:val="es-ES_tradnl"/>
        </w:rPr>
        <w:t xml:space="preserve"> </w:t>
      </w:r>
      <w:r>
        <w:rPr>
          <w:sz w:val="24"/>
        </w:rPr>
        <w:t>Quando da realização dos pagamentos serão processadas as retenções de tributos, conforme disposto na Instrução Normativa RFB nº 1234/2012, exceto quando a Empresa for optante pelo simples nacional.</w:t>
      </w:r>
    </w:p>
    <w:p>
      <w:pPr>
        <w:pStyle w:val="Default"/>
        <w:ind w:right="142"/>
        <w:jc w:val="both"/>
        <w:rPr>
          <w:rFonts w:ascii="Times New Roman" w:hAnsi="Times New Roman" w:eastAsia="Symbol" w:cs="Times New Roman"/>
          <w:b/>
          <w:bCs/>
          <w:lang w:val="es-ES_tradnl"/>
        </w:rPr>
      </w:pPr>
      <w:r>
        <w:rPr>
          <w:rFonts w:eastAsia="Symbol" w:cs="Times New Roman" w:ascii="Times New Roman" w:hAnsi="Times New Roman"/>
          <w:b/>
          <w:bCs/>
          <w:lang w:val="es-ES_tradnl"/>
        </w:rPr>
      </w:r>
    </w:p>
    <w:p>
      <w:pPr>
        <w:pStyle w:val="Default"/>
        <w:ind w:right="142"/>
        <w:jc w:val="both"/>
        <w:rPr>
          <w:rFonts w:ascii="Times New Roman" w:hAnsi="Times New Roman" w:cs="Times New Roman"/>
        </w:rPr>
      </w:pPr>
      <w:r>
        <w:rPr>
          <w:rFonts w:eastAsia="Symbol" w:cs="Times New Roman" w:ascii="Times New Roman" w:hAnsi="Times New Roman"/>
          <w:b/>
          <w:bCs/>
        </w:rPr>
        <w:t>9. DAS CONDIÇÕES GERAIS, DOS SERVIÇOS E DO RECEBIMENTO:</w:t>
      </w:r>
    </w:p>
    <w:p>
      <w:pPr>
        <w:pStyle w:val="Default"/>
        <w:ind w:right="142"/>
        <w:jc w:val="both"/>
        <w:rPr>
          <w:rFonts w:ascii="Times New Roman" w:hAnsi="Times New Roman" w:cs="Times New Roman"/>
        </w:rPr>
      </w:pPr>
      <w:r>
        <w:rPr>
          <w:rFonts w:eastAsia="Symbol" w:cs="Times New Roman" w:ascii="Times New Roman" w:hAnsi="Times New Roman"/>
          <w:b/>
        </w:rPr>
        <w:t xml:space="preserve">9.1. </w:t>
      </w:r>
      <w:r>
        <w:rPr>
          <w:rFonts w:eastAsia="Symbol" w:cs="Times New Roman" w:ascii="Times New Roman" w:hAnsi="Times New Roman"/>
        </w:rPr>
        <w:t>Durante a execução do Contrato/Nota de Empenho, a Contratada deverá manter as mesmas condições de habilitação, prestar as informações solicitadas pelo Município dentro dos prazos estipulados, bem como não transferir a outrem as obrigações decorrentes da licitação.</w:t>
      </w:r>
    </w:p>
    <w:p>
      <w:pPr>
        <w:pStyle w:val="Textoprformatado"/>
        <w:ind w:right="142"/>
        <w:jc w:val="both"/>
        <w:rPr>
          <w:rFonts w:ascii="Times New Roman" w:hAnsi="Times New Roman" w:cs="Times New Roman"/>
          <w:sz w:val="24"/>
          <w:szCs w:val="24"/>
        </w:rPr>
      </w:pPr>
      <w:r>
        <w:rPr>
          <w:rFonts w:cs="Times New Roman" w:ascii="Times New Roman" w:hAnsi="Times New Roman"/>
          <w:b/>
          <w:bCs/>
          <w:color w:val="000000"/>
          <w:sz w:val="24"/>
          <w:szCs w:val="24"/>
          <w:lang w:val="pt-PT"/>
        </w:rPr>
        <w:t xml:space="preserve">9.2. </w:t>
      </w:r>
      <w:r>
        <w:rPr>
          <w:rFonts w:cs="Times New Roman" w:ascii="Times New Roman" w:hAnsi="Times New Roman"/>
          <w:bCs/>
          <w:color w:val="000000"/>
          <w:sz w:val="24"/>
          <w:szCs w:val="24"/>
          <w:lang w:val="pt-PT"/>
        </w:rPr>
        <w:t>Início da execução do objeto</w:t>
      </w:r>
      <w:r>
        <w:rPr>
          <w:rFonts w:cs="Times New Roman" w:ascii="Times New Roman" w:hAnsi="Times New Roman"/>
          <w:bCs/>
          <w:sz w:val="24"/>
          <w:szCs w:val="24"/>
          <w:lang w:val="pt-PT"/>
        </w:rPr>
        <w:t xml:space="preserve">: </w:t>
      </w:r>
      <w:r>
        <w:rPr>
          <w:rFonts w:cs="Times New Roman" w:ascii="Times New Roman" w:hAnsi="Times New Roman"/>
          <w:b/>
          <w:bCs/>
          <w:sz w:val="24"/>
          <w:szCs w:val="24"/>
          <w:lang w:val="pt-PT"/>
        </w:rPr>
        <w:t>imediatamente</w:t>
      </w:r>
      <w:r>
        <w:rPr>
          <w:rFonts w:cs="Times New Roman" w:ascii="Times New Roman" w:hAnsi="Times New Roman"/>
          <w:bCs/>
          <w:sz w:val="24"/>
          <w:szCs w:val="24"/>
          <w:lang w:val="pt-PT"/>
        </w:rPr>
        <w:t xml:space="preserve"> após a emissão da ordem de ser</w:t>
      </w:r>
      <w:r>
        <w:rPr>
          <w:rFonts w:cs="Times New Roman" w:ascii="Times New Roman" w:hAnsi="Times New Roman"/>
          <w:bCs/>
          <w:spacing w:val="-2"/>
          <w:sz w:val="24"/>
          <w:szCs w:val="24"/>
          <w:lang w:val="pt-PT"/>
        </w:rPr>
        <w:t>viço, que poderá ocorrer via telefone.</w:t>
      </w:r>
    </w:p>
    <w:p>
      <w:pPr>
        <w:pStyle w:val="Textoprformatado"/>
        <w:ind w:right="142"/>
        <w:jc w:val="both"/>
        <w:rPr>
          <w:rFonts w:ascii="Times New Roman" w:hAnsi="Times New Roman" w:cs="Times New Roman"/>
          <w:sz w:val="24"/>
          <w:szCs w:val="24"/>
        </w:rPr>
      </w:pPr>
      <w:r>
        <w:rPr>
          <w:rFonts w:cs="Times New Roman" w:ascii="Times New Roman" w:hAnsi="Times New Roman"/>
          <w:sz w:val="24"/>
          <w:szCs w:val="24"/>
        </w:rPr>
      </w:r>
    </w:p>
    <w:p>
      <w:pPr>
        <w:pStyle w:val="Default"/>
        <w:ind w:right="142"/>
        <w:jc w:val="both"/>
        <w:rPr>
          <w:rFonts w:ascii="Times New Roman" w:hAnsi="Times New Roman" w:cs="Times New Roman"/>
        </w:rPr>
      </w:pPr>
      <w:r>
        <w:rPr>
          <w:rFonts w:eastAsia="Symbol" w:cs="Times New Roman" w:ascii="Times New Roman" w:hAnsi="Times New Roman"/>
          <w:b/>
        </w:rPr>
        <w:t>10. DAS PENALIDADES</w:t>
      </w:r>
    </w:p>
    <w:p>
      <w:pPr>
        <w:pStyle w:val="Normal"/>
        <w:tabs>
          <w:tab w:val="clear" w:pos="708"/>
          <w:tab w:val="left" w:pos="1134" w:leader="none"/>
        </w:tabs>
        <w:ind w:right="142"/>
        <w:jc w:val="both"/>
        <w:rPr>
          <w:sz w:val="24"/>
        </w:rPr>
      </w:pPr>
      <w:r>
        <w:rPr>
          <w:b/>
          <w:sz w:val="24"/>
        </w:rPr>
        <w:t xml:space="preserve">10.1. </w:t>
      </w:r>
      <w:r>
        <w:rPr>
          <w:sz w:val="24"/>
        </w:rPr>
        <w:t xml:space="preserve">Pelo inadimplemento das obrigações, seja na condição de participante do pregão ou de contratada, as licitantes, conforme a infração, estarão sujeitas às penalidades estabelecidas através do item 11 do Edital nº </w:t>
      </w:r>
      <w:r>
        <w:rPr>
          <w:b/>
          <w:bCs/>
          <w:color w:val="000000"/>
          <w:sz w:val="24"/>
        </w:rPr>
        <w:t>4035/2026.</w:t>
      </w:r>
    </w:p>
    <w:p>
      <w:pPr>
        <w:pStyle w:val="Normal"/>
        <w:tabs>
          <w:tab w:val="clear" w:pos="708"/>
          <w:tab w:val="left" w:pos="1134" w:leader="none"/>
        </w:tabs>
        <w:ind w:right="142"/>
        <w:jc w:val="both"/>
        <w:rPr>
          <w:sz w:val="24"/>
        </w:rPr>
      </w:pPr>
      <w:r>
        <w:rPr>
          <w:b/>
          <w:sz w:val="24"/>
        </w:rPr>
        <w:t xml:space="preserve">10.2. </w:t>
      </w:r>
      <w:r>
        <w:rPr>
          <w:sz w:val="24"/>
        </w:rPr>
        <w:t>Nenhum pagamento será efetuado pela Administração enquanto pendente de liquidação qualquer obrigação financeira que for imposta ao fornecedor em virtude de penalidade ou inadimplência contratual.</w:t>
      </w:r>
    </w:p>
    <w:p>
      <w:pPr>
        <w:pStyle w:val="Normal"/>
        <w:tabs>
          <w:tab w:val="clear" w:pos="708"/>
          <w:tab w:val="left" w:pos="1134" w:leader="none"/>
        </w:tabs>
        <w:ind w:right="142"/>
        <w:jc w:val="both"/>
        <w:rPr>
          <w:sz w:val="24"/>
        </w:rPr>
      </w:pPr>
      <w:r>
        <w:rPr>
          <w:sz w:val="24"/>
        </w:rPr>
      </w:r>
    </w:p>
    <w:p>
      <w:pPr>
        <w:pStyle w:val="Default"/>
        <w:ind w:right="142"/>
        <w:jc w:val="both"/>
        <w:rPr>
          <w:rFonts w:ascii="Times New Roman" w:hAnsi="Times New Roman" w:cs="Times New Roman"/>
        </w:rPr>
      </w:pPr>
      <w:r>
        <w:rPr>
          <w:rFonts w:eastAsia="Symbol" w:cs="Times New Roman" w:ascii="Times New Roman" w:hAnsi="Times New Roman"/>
          <w:b/>
        </w:rPr>
        <w:t>11.</w:t>
      </w:r>
      <w:r>
        <w:rPr>
          <w:rFonts w:eastAsia="Symbol" w:cs="Times New Roman" w:ascii="Times New Roman" w:hAnsi="Times New Roman"/>
        </w:rPr>
        <w:t xml:space="preserve"> </w:t>
      </w:r>
      <w:r>
        <w:rPr>
          <w:rFonts w:eastAsia="Symbol" w:cs="Times New Roman" w:ascii="Times New Roman" w:hAnsi="Times New Roman"/>
          <w:b/>
          <w:bCs/>
        </w:rPr>
        <w:t>DO RECURSO ORÇAMENTÁRIO</w:t>
      </w:r>
    </w:p>
    <w:p>
      <w:pPr>
        <w:pStyle w:val="Normal"/>
        <w:ind w:right="142"/>
        <w:jc w:val="both"/>
        <w:rPr>
          <w:sz w:val="24"/>
        </w:rPr>
      </w:pPr>
      <w:r>
        <w:rPr>
          <w:rFonts w:eastAsia="Symbol"/>
          <w:bCs/>
          <w:sz w:val="24"/>
        </w:rPr>
        <w:t>Para as despesas decorrentes da presente Licitação, serão utilizados recursos da Dotação Orçamentária correspondente.</w:t>
      </w:r>
    </w:p>
    <w:p>
      <w:pPr>
        <w:pStyle w:val="Normal"/>
        <w:ind w:right="142"/>
        <w:jc w:val="both"/>
        <w:rPr>
          <w:rFonts w:eastAsia="Symbol"/>
          <w:bCs/>
          <w:sz w:val="24"/>
        </w:rPr>
      </w:pPr>
      <w:r>
        <w:rPr>
          <w:rFonts w:eastAsia="Symbol"/>
          <w:bCs/>
          <w:sz w:val="24"/>
        </w:rPr>
      </w:r>
    </w:p>
    <w:p>
      <w:pPr>
        <w:pStyle w:val="Default"/>
        <w:ind w:right="142"/>
        <w:jc w:val="both"/>
        <w:rPr>
          <w:rFonts w:ascii="Times New Roman" w:hAnsi="Times New Roman" w:cs="Times New Roman"/>
        </w:rPr>
      </w:pPr>
      <w:r>
        <w:rPr>
          <w:rFonts w:eastAsia="Symbol" w:cs="Times New Roman" w:ascii="Times New Roman" w:hAnsi="Times New Roman"/>
          <w:b/>
          <w:bCs/>
        </w:rPr>
        <w:t>12. DA AUTORIZAÇÃO PARA A CONTRATAÇÃO</w:t>
      </w:r>
    </w:p>
    <w:p>
      <w:pPr>
        <w:pStyle w:val="Default"/>
        <w:ind w:right="142"/>
        <w:jc w:val="both"/>
        <w:rPr>
          <w:rFonts w:ascii="Times New Roman" w:hAnsi="Times New Roman" w:cs="Times New Roman"/>
        </w:rPr>
      </w:pPr>
      <w:r>
        <w:rPr>
          <w:rFonts w:eastAsia="Symbol" w:cs="Times New Roman" w:ascii="Times New Roman" w:hAnsi="Times New Roman"/>
        </w:rPr>
        <w:t>A contratação e os demais atos inerentes à presente Ata de Registro de Preços serão autorizados, caso a caso, pelo Senhor Ordenador de Despesas e no caso dos órgãos usuários pela respectiva autoridade responsável de cada órgão.</w:t>
      </w:r>
    </w:p>
    <w:p>
      <w:pPr>
        <w:pStyle w:val="Default"/>
        <w:ind w:right="142"/>
        <w:jc w:val="both"/>
        <w:rPr>
          <w:rFonts w:ascii="Times New Roman" w:hAnsi="Times New Roman" w:eastAsia="Symbol" w:cs="Times New Roman"/>
        </w:rPr>
      </w:pPr>
      <w:r>
        <w:rPr>
          <w:rFonts w:eastAsia="Symbol" w:cs="Times New Roman" w:ascii="Times New Roman" w:hAnsi="Times New Roman"/>
        </w:rPr>
      </w:r>
    </w:p>
    <w:p>
      <w:pPr>
        <w:pStyle w:val="Default"/>
        <w:ind w:right="142"/>
        <w:jc w:val="both"/>
        <w:rPr>
          <w:rFonts w:ascii="Times New Roman" w:hAnsi="Times New Roman" w:cs="Times New Roman"/>
        </w:rPr>
      </w:pPr>
      <w:r>
        <w:rPr>
          <w:rFonts w:eastAsia="Symbol" w:cs="Times New Roman" w:ascii="Times New Roman" w:hAnsi="Times New Roman"/>
          <w:b/>
        </w:rPr>
        <w:t>13. DA FISCALIZAÇÃO</w:t>
      </w:r>
    </w:p>
    <w:p>
      <w:pPr>
        <w:pStyle w:val="Normal"/>
        <w:ind w:right="140"/>
        <w:jc w:val="both"/>
        <w:rPr>
          <w:sz w:val="24"/>
        </w:rPr>
      </w:pPr>
      <w:r>
        <w:rPr>
          <w:rFonts w:ascii="Garamond" w:hAnsi="Garamond"/>
          <w:sz w:val="24"/>
        </w:rPr>
        <w:t xml:space="preserve">A gestão e fiscalização da execução da Ata de Registro de Preços compete ao CONTRATANTE, que o fará por meio dos seguintes servidores, formalmente designados pela Portaria nº xx.xxx, de xx de </w:t>
      </w:r>
      <w:r>
        <w:rPr>
          <w:rFonts w:ascii="Garamond" w:hAnsi="Garamond"/>
          <w:color w:val="000000"/>
          <w:sz w:val="24"/>
        </w:rPr>
        <w:t>janeiro de 2026:</w:t>
      </w:r>
    </w:p>
    <w:p>
      <w:pPr>
        <w:pStyle w:val="Normal"/>
        <w:tabs>
          <w:tab w:val="clear" w:pos="708"/>
          <w:tab w:val="left" w:pos="0" w:leader="none"/>
          <w:tab w:val="left" w:pos="4962" w:leader="none"/>
          <w:tab w:val="left" w:pos="5664" w:leader="none"/>
          <w:tab w:val="left" w:pos="6372" w:leader="none"/>
          <w:tab w:val="left" w:pos="7080" w:leader="none"/>
          <w:tab w:val="left" w:pos="7788" w:leader="none"/>
          <w:tab w:val="left" w:pos="8496" w:leader="none"/>
        </w:tabs>
        <w:spacing w:lineRule="auto" w:line="276"/>
        <w:jc w:val="both"/>
        <w:rPr>
          <w:rFonts w:ascii="Garamond" w:hAnsi="Garamond"/>
          <w:sz w:val="24"/>
        </w:rPr>
      </w:pPr>
      <w:r>
        <w:rPr>
          <w:rFonts w:ascii="Garamond" w:hAnsi="Garamond"/>
          <w:sz w:val="24"/>
        </w:rPr>
      </w:r>
    </w:p>
    <w:p>
      <w:pPr>
        <w:pStyle w:val="Normal"/>
        <w:spacing w:lineRule="auto" w:line="276"/>
        <w:jc w:val="both"/>
        <w:rPr>
          <w:rFonts w:ascii="Garamond" w:hAnsi="Garamond"/>
          <w:sz w:val="24"/>
        </w:rPr>
      </w:pPr>
      <w:bookmarkStart w:id="15" w:name="_Hlk219984627"/>
      <w:r>
        <w:rPr>
          <w:rFonts w:ascii="Garamond" w:hAnsi="Garamond"/>
          <w:b/>
          <w:bCs/>
          <w:sz w:val="24"/>
        </w:rPr>
        <w:t>a)</w:t>
      </w:r>
      <w:r>
        <w:rPr>
          <w:rFonts w:ascii="Garamond" w:hAnsi="Garamond"/>
          <w:sz w:val="24"/>
        </w:rPr>
        <w:t xml:space="preserve"> Gestor do Contrato: </w:t>
      </w:r>
      <w:r>
        <w:rPr>
          <w:rFonts w:ascii="Garamond" w:hAnsi="Garamond"/>
          <w:b/>
          <w:bCs/>
          <w:sz w:val="24"/>
        </w:rPr>
        <w:t>NOME COMPLETO</w:t>
      </w:r>
      <w:r>
        <w:rPr>
          <w:rFonts w:ascii="Garamond" w:hAnsi="Garamond"/>
          <w:sz w:val="24"/>
        </w:rPr>
        <w:t xml:space="preserve">, inscrita no </w:t>
      </w:r>
      <w:r>
        <w:rPr>
          <w:rFonts w:ascii="Garamond" w:hAnsi="Garamond"/>
          <w:b/>
          <w:bCs/>
          <w:sz w:val="24"/>
        </w:rPr>
        <w:t>CPF sob o nº 012.XXX.XXX-34</w:t>
      </w:r>
      <w:r>
        <w:rPr>
          <w:rFonts w:ascii="Garamond" w:hAnsi="Garamond"/>
          <w:sz w:val="24"/>
        </w:rPr>
        <w:t>, residente e domiciliado nesta cidade;</w:t>
      </w:r>
    </w:p>
    <w:p>
      <w:pPr>
        <w:pStyle w:val="Normal"/>
        <w:ind w:right="140"/>
        <w:jc w:val="both"/>
        <w:rPr>
          <w:sz w:val="24"/>
        </w:rPr>
      </w:pPr>
      <w:r>
        <w:rPr>
          <w:rFonts w:ascii="Garamond" w:hAnsi="Garamond"/>
          <w:b/>
          <w:bCs/>
          <w:sz w:val="24"/>
        </w:rPr>
        <w:t>b)</w:t>
      </w:r>
      <w:r>
        <w:rPr>
          <w:rFonts w:ascii="Garamond" w:hAnsi="Garamond"/>
          <w:sz w:val="24"/>
        </w:rPr>
        <w:t xml:space="preserve"> Fiscal do Contrato: </w:t>
      </w:r>
      <w:r>
        <w:rPr>
          <w:rFonts w:ascii="Garamond" w:hAnsi="Garamond"/>
          <w:b/>
          <w:bCs/>
          <w:sz w:val="24"/>
        </w:rPr>
        <w:t>NOME COMPLETO</w:t>
      </w:r>
      <w:r>
        <w:rPr>
          <w:rFonts w:ascii="Garamond" w:hAnsi="Garamond"/>
          <w:sz w:val="24"/>
        </w:rPr>
        <w:t xml:space="preserve">, inscrito no </w:t>
      </w:r>
      <w:r>
        <w:rPr>
          <w:rFonts w:ascii="Garamond" w:hAnsi="Garamond"/>
          <w:b/>
          <w:bCs/>
          <w:sz w:val="24"/>
        </w:rPr>
        <w:t>CPF sob o nº 012.XXX.XXX-34</w:t>
      </w:r>
      <w:r>
        <w:rPr>
          <w:rFonts w:ascii="Garamond" w:hAnsi="Garamond"/>
          <w:sz w:val="24"/>
        </w:rPr>
        <w:t xml:space="preserve">, residente e domiciliado nesta cidade. </w:t>
      </w:r>
      <w:bookmarkEnd w:id="15"/>
    </w:p>
    <w:p>
      <w:pPr>
        <w:pStyle w:val="Normal"/>
        <w:ind w:right="140"/>
        <w:jc w:val="both"/>
        <w:rPr>
          <w:sz w:val="24"/>
        </w:rPr>
      </w:pPr>
      <w:r>
        <w:rPr>
          <w:sz w:val="24"/>
        </w:rPr>
      </w:r>
    </w:p>
    <w:p>
      <w:pPr>
        <w:pStyle w:val="Default"/>
        <w:ind w:right="140"/>
        <w:jc w:val="both"/>
        <w:rPr>
          <w:rFonts w:ascii="Times New Roman" w:hAnsi="Times New Roman" w:cs="Times New Roman"/>
        </w:rPr>
      </w:pPr>
      <w:r>
        <w:rPr>
          <w:rFonts w:eastAsia="Symbol" w:cs="Times New Roman" w:ascii="Times New Roman" w:hAnsi="Times New Roman"/>
          <w:b/>
          <w:bCs/>
        </w:rPr>
        <w:t>14. DAS DISPOSIÇÕES FINAIS</w:t>
      </w:r>
    </w:p>
    <w:p>
      <w:pPr>
        <w:pStyle w:val="Default"/>
        <w:ind w:right="140"/>
        <w:jc w:val="both"/>
        <w:rPr>
          <w:rFonts w:ascii="Times New Roman" w:hAnsi="Times New Roman" w:cs="Times New Roman"/>
        </w:rPr>
      </w:pPr>
      <w:r>
        <w:rPr>
          <w:rFonts w:eastAsia="Symbol" w:cs="Times New Roman" w:ascii="Times New Roman" w:hAnsi="Times New Roman"/>
          <w:b/>
        </w:rPr>
        <w:t>14.1</w:t>
      </w:r>
      <w:r>
        <w:rPr>
          <w:rFonts w:eastAsia="Symbol" w:cs="Times New Roman" w:ascii="Times New Roman" w:hAnsi="Times New Roman"/>
        </w:rPr>
        <w:t xml:space="preserve"> O foro da Justiça de Caçapava do Sul/RS é o foro competente para solucionar os litígios decorrentes deste Edital, ficando excluído qualquer outro, por mais privilegiado que seja.</w:t>
      </w:r>
    </w:p>
    <w:p>
      <w:pPr>
        <w:pStyle w:val="Default"/>
        <w:ind w:right="140"/>
        <w:jc w:val="both"/>
        <w:rPr>
          <w:rFonts w:ascii="Times New Roman" w:hAnsi="Times New Roman" w:cs="Times New Roman"/>
        </w:rPr>
      </w:pPr>
      <w:r>
        <w:rPr>
          <w:rFonts w:eastAsia="Symbol" w:cs="Times New Roman" w:ascii="Times New Roman" w:hAnsi="Times New Roman"/>
          <w:b/>
        </w:rPr>
        <w:t>14.2</w:t>
      </w:r>
      <w:r>
        <w:rPr>
          <w:rFonts w:eastAsia="Symbol" w:cs="Times New Roman" w:ascii="Times New Roman" w:hAnsi="Times New Roman"/>
        </w:rPr>
        <w:t xml:space="preserve"> Aos casos omissos aplicar-se-ão as demais disposições constantes da Lei n.º 14.133/2021 e demais normas aplicáveis.</w:t>
      </w:r>
    </w:p>
    <w:p>
      <w:pPr>
        <w:pStyle w:val="Default"/>
        <w:ind w:right="140"/>
        <w:jc w:val="both"/>
        <w:rPr>
          <w:rFonts w:ascii="Times New Roman" w:hAnsi="Times New Roman" w:eastAsia="Symbol" w:cs="Times New Roman"/>
        </w:rPr>
      </w:pPr>
      <w:r>
        <w:rPr>
          <w:rFonts w:eastAsia="Symbol" w:cs="Times New Roman" w:ascii="Times New Roman" w:hAnsi="Times New Roman"/>
        </w:rPr>
      </w:r>
    </w:p>
    <w:p>
      <w:pPr>
        <w:pStyle w:val="Default"/>
        <w:ind w:right="140"/>
        <w:rPr>
          <w:rFonts w:ascii="Times New Roman" w:hAnsi="Times New Roman" w:cs="Times New Roman"/>
        </w:rPr>
      </w:pPr>
      <w:r>
        <w:rPr>
          <w:rFonts w:eastAsia="Symbol" w:cs="Times New Roman" w:ascii="Times New Roman" w:hAnsi="Times New Roman"/>
        </w:rPr>
        <w:t>Caçapava do Sul, ____ de ______________ de 2026.</w:t>
      </w:r>
    </w:p>
    <w:p>
      <w:pPr>
        <w:pStyle w:val="Normal"/>
        <w:ind w:right="140"/>
        <w:jc w:val="both"/>
        <w:rPr>
          <w:rFonts w:eastAsia="Symbol"/>
          <w:sz w:val="24"/>
        </w:rPr>
      </w:pPr>
      <w:r>
        <w:rPr>
          <w:rFonts w:eastAsia="Symbol"/>
          <w:sz w:val="24"/>
        </w:rPr>
      </w:r>
    </w:p>
    <w:p>
      <w:pPr>
        <w:pStyle w:val="Normal"/>
        <w:ind w:right="140"/>
        <w:jc w:val="both"/>
        <w:rPr>
          <w:rFonts w:eastAsia="Symbol"/>
          <w:sz w:val="24"/>
        </w:rPr>
      </w:pPr>
      <w:r>
        <w:rPr>
          <w:rFonts w:eastAsia="Symbol"/>
          <w:sz w:val="24"/>
        </w:rPr>
      </w:r>
    </w:p>
    <w:p>
      <w:pPr>
        <w:pStyle w:val="Normal"/>
        <w:ind w:right="140"/>
        <w:jc w:val="both"/>
        <w:rPr>
          <w:sz w:val="24"/>
        </w:rPr>
      </w:pPr>
      <w:r>
        <w:rPr>
          <w:rFonts w:eastAsia="Symbol"/>
          <w:sz w:val="24"/>
        </w:rPr>
        <w:t>CONTRATADA                                                            CONTRATANTE</w:t>
      </w:r>
    </w:p>
    <w:sectPr>
      <w:headerReference w:type="default" r:id="rId13"/>
      <w:footerReference w:type="default" r:id="rId14"/>
      <w:type w:val="nextPage"/>
      <w:pgSz w:w="11906" w:h="16838"/>
      <w:pgMar w:left="1276" w:right="991" w:gutter="0" w:header="283" w:top="1134" w:footer="567" w:bottom="1418"/>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Arial">
    <w:charset w:val="00"/>
    <w:family w:val="roman"/>
    <w:pitch w:val="variable"/>
  </w:font>
  <w:font w:name="Georgia">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Times New Roman">
    <w:charset w:val="01"/>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848350" cy="1076325"/>
          <wp:effectExtent l="0" t="0" r="0" b="0"/>
          <wp:docPr id="1"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
                  <pic:cNvPicPr>
                    <a:picLocks noChangeAspect="1" noChangeArrowheads="1"/>
                  </pic:cNvPicPr>
                </pic:nvPicPr>
                <pic:blipFill>
                  <a:blip r:embed="rId1"/>
                  <a:srcRect l="-9" t="-52" r="-9" b="-52"/>
                  <a:stretch>
                    <a:fillRect/>
                  </a:stretch>
                </pic:blipFill>
                <pic:spPr bwMode="auto">
                  <a:xfrm>
                    <a:off x="0" y="0"/>
                    <a:ext cx="5848350" cy="10763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2.1.%1."/>
      <w:lvlJc w:val="left"/>
      <w:pPr>
        <w:tabs>
          <w:tab w:val="num" w:pos="0"/>
        </w:tabs>
        <w:ind w:left="1512" w:hanging="360"/>
      </w:pPr>
      <w:rPr>
        <w:b/>
        <w:bCs/>
      </w:rPr>
    </w:lvl>
    <w:lvl w:ilvl="1">
      <w:start w:val="1"/>
      <w:numFmt w:val="lowerLetter"/>
      <w:lvlText w:val="%2."/>
      <w:lvlJc w:val="left"/>
      <w:pPr>
        <w:tabs>
          <w:tab w:val="num" w:pos="0"/>
        </w:tabs>
        <w:ind w:left="2232" w:hanging="360"/>
      </w:pPr>
      <w:rPr/>
    </w:lvl>
    <w:lvl w:ilvl="2">
      <w:start w:val="1"/>
      <w:numFmt w:val="lowerRoman"/>
      <w:lvlText w:val="%3."/>
      <w:lvlJc w:val="right"/>
      <w:pPr>
        <w:tabs>
          <w:tab w:val="num" w:pos="0"/>
        </w:tabs>
        <w:ind w:left="2952" w:hanging="180"/>
      </w:pPr>
      <w:rPr/>
    </w:lvl>
    <w:lvl w:ilvl="3">
      <w:start w:val="1"/>
      <w:numFmt w:val="decimal"/>
      <w:lvlText w:val="%4."/>
      <w:lvlJc w:val="left"/>
      <w:pPr>
        <w:tabs>
          <w:tab w:val="num" w:pos="0"/>
        </w:tabs>
        <w:ind w:left="3672" w:hanging="360"/>
      </w:pPr>
      <w:rPr/>
    </w:lvl>
    <w:lvl w:ilvl="4">
      <w:start w:val="1"/>
      <w:numFmt w:val="lowerLetter"/>
      <w:lvlText w:val="%5."/>
      <w:lvlJc w:val="left"/>
      <w:pPr>
        <w:tabs>
          <w:tab w:val="num" w:pos="0"/>
        </w:tabs>
        <w:ind w:left="4392" w:hanging="360"/>
      </w:pPr>
      <w:rPr/>
    </w:lvl>
    <w:lvl w:ilvl="5">
      <w:start w:val="1"/>
      <w:numFmt w:val="lowerRoman"/>
      <w:lvlText w:val="%6."/>
      <w:lvlJc w:val="right"/>
      <w:pPr>
        <w:tabs>
          <w:tab w:val="num" w:pos="0"/>
        </w:tabs>
        <w:ind w:left="5112" w:hanging="180"/>
      </w:pPr>
      <w:rPr/>
    </w:lvl>
    <w:lvl w:ilvl="6">
      <w:start w:val="1"/>
      <w:numFmt w:val="decimal"/>
      <w:lvlText w:val="%7."/>
      <w:lvlJc w:val="left"/>
      <w:pPr>
        <w:tabs>
          <w:tab w:val="num" w:pos="0"/>
        </w:tabs>
        <w:ind w:left="5832" w:hanging="360"/>
      </w:pPr>
      <w:rPr/>
    </w:lvl>
    <w:lvl w:ilvl="7">
      <w:start w:val="1"/>
      <w:numFmt w:val="lowerLetter"/>
      <w:lvlText w:val="%8."/>
      <w:lvlJc w:val="left"/>
      <w:pPr>
        <w:tabs>
          <w:tab w:val="num" w:pos="0"/>
        </w:tabs>
        <w:ind w:left="6552" w:hanging="360"/>
      </w:pPr>
      <w:rPr/>
    </w:lvl>
    <w:lvl w:ilvl="8">
      <w:start w:val="1"/>
      <w:numFmt w:val="lowerRoman"/>
      <w:lvlText w:val="%9."/>
      <w:lvlJc w:val="right"/>
      <w:pPr>
        <w:tabs>
          <w:tab w:val="num" w:pos="0"/>
        </w:tabs>
        <w:ind w:left="7272" w:hanging="180"/>
      </w:pPr>
      <w:rPr/>
    </w:lvl>
  </w:abstractNum>
  <w:abstractNum w:abstractNumId="3">
    <w:lvl w:ilvl="0">
      <w:start w:val="11"/>
      <w:numFmt w:val="decimal"/>
      <w:lvlText w:val="%1"/>
      <w:lvlJc w:val="left"/>
      <w:pPr>
        <w:tabs>
          <w:tab w:val="num" w:pos="0"/>
        </w:tabs>
        <w:ind w:left="660" w:hanging="660"/>
      </w:pPr>
      <w:rPr/>
    </w:lvl>
    <w:lvl w:ilvl="1">
      <w:start w:val="1"/>
      <w:numFmt w:val="decimal"/>
      <w:lvlText w:val="%1.%2"/>
      <w:lvlJc w:val="left"/>
      <w:pPr>
        <w:tabs>
          <w:tab w:val="num" w:pos="0"/>
        </w:tabs>
        <w:ind w:left="660" w:hanging="660"/>
      </w:pPr>
      <w:rPr/>
    </w:lvl>
    <w:lvl w:ilvl="2">
      <w:start w:val="2"/>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3"/>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60"/>
  <w:displayBackgroundShape/>
  <w:embedSystemFonts/>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4"/>
      <w:lang w:val="pt-BR" w:eastAsia="zh-CN" w:bidi="ar-SA"/>
    </w:rPr>
  </w:style>
  <w:style w:type="paragraph" w:styleId="Heading1">
    <w:name w:val="Heading 1"/>
    <w:basedOn w:val="Normal"/>
    <w:next w:val="Normal"/>
    <w:qFormat/>
    <w:pPr>
      <w:keepNext w:val="true"/>
      <w:numPr>
        <w:ilvl w:val="0"/>
        <w:numId w:val="1"/>
      </w:numPr>
      <w:jc w:val="center"/>
      <w:outlineLvl w:val="0"/>
    </w:pPr>
    <w:rPr>
      <w:b/>
      <w:bCs/>
      <w:sz w:val="32"/>
    </w:rPr>
  </w:style>
  <w:style w:type="paragraph" w:styleId="Heading2">
    <w:name w:val="Heading 2"/>
    <w:basedOn w:val="Normal"/>
    <w:next w:val="Normal"/>
    <w:qFormat/>
    <w:pPr>
      <w:keepNext w:val="true"/>
      <w:numPr>
        <w:ilvl w:val="1"/>
        <w:numId w:val="1"/>
      </w:numPr>
      <w:jc w:val="center"/>
      <w:outlineLvl w:val="1"/>
    </w:pPr>
    <w:rPr>
      <w:b/>
      <w:sz w:val="16"/>
      <w:szCs w:val="20"/>
    </w:rPr>
  </w:style>
  <w:style w:type="paragraph" w:styleId="Heading3">
    <w:name w:val="Heading 3"/>
    <w:basedOn w:val="Normal"/>
    <w:next w:val="Normal"/>
    <w:qFormat/>
    <w:pPr>
      <w:keepNext w:val="true"/>
      <w:numPr>
        <w:ilvl w:val="2"/>
        <w:numId w:val="1"/>
      </w:numPr>
      <w:jc w:val="center"/>
      <w:outlineLvl w:val="2"/>
    </w:pPr>
    <w:rPr>
      <w:sz w:val="28"/>
      <w:szCs w:val="20"/>
    </w:rPr>
  </w:style>
  <w:style w:type="paragraph" w:styleId="Heading4">
    <w:name w:val="Heading 4"/>
    <w:basedOn w:val="Normal"/>
    <w:next w:val="Normal"/>
    <w:qFormat/>
    <w:pPr>
      <w:keepNext w:val="true"/>
      <w:numPr>
        <w:ilvl w:val="3"/>
        <w:numId w:val="1"/>
      </w:numPr>
      <w:jc w:val="center"/>
      <w:outlineLvl w:val="3"/>
    </w:pPr>
    <w:rPr>
      <w:b/>
      <w:i/>
      <w:sz w:val="16"/>
      <w:szCs w:val="20"/>
    </w:rPr>
  </w:style>
  <w:style w:type="paragraph" w:styleId="Heading5">
    <w:name w:val="Heading 5"/>
    <w:basedOn w:val="Normal1"/>
    <w:next w:val="Normal1"/>
    <w:qFormat/>
    <w:pPr>
      <w:keepNext w:val="true"/>
      <w:keepLines/>
      <w:spacing w:before="220" w:after="40"/>
      <w:outlineLvl w:val="4"/>
    </w:pPr>
    <w:rPr>
      <w:b/>
      <w:sz w:val="22"/>
      <w:szCs w:val="22"/>
    </w:rPr>
  </w:style>
  <w:style w:type="paragraph" w:styleId="Heading6">
    <w:name w:val="Heading 6"/>
    <w:basedOn w:val="Normal1"/>
    <w:next w:val="Normal1"/>
    <w:qFormat/>
    <w:pPr>
      <w:keepNext w:val="true"/>
      <w:keepLines/>
      <w:spacing w:before="200" w:after="40"/>
      <w:outlineLvl w:val="5"/>
    </w:pPr>
    <w:rPr>
      <w:b/>
      <w:sz w:val="20"/>
      <w:szCs w:val="20"/>
    </w:rPr>
  </w:style>
  <w:style w:type="paragraph" w:styleId="Heading9">
    <w:name w:val="Heading 9"/>
    <w:basedOn w:val="Normal"/>
    <w:next w:val="Normal"/>
    <w:qFormat/>
    <w:pPr>
      <w:keepNext w:val="true"/>
      <w:numPr>
        <w:ilvl w:val="8"/>
        <w:numId w:val="1"/>
      </w:numPr>
      <w:pBdr>
        <w:top w:val="double" w:sz="12" w:space="1" w:color="000000"/>
        <w:left w:val="double" w:sz="12" w:space="4" w:color="000000"/>
        <w:bottom w:val="double" w:sz="12" w:space="1" w:color="000000"/>
        <w:right w:val="double" w:sz="12" w:space="3" w:color="000000"/>
      </w:pBdr>
      <w:shd w:val="clear" w:color="auto" w:fill="F5F5F5"/>
      <w:ind w:firstLine="708" w:left="0" w:right="-649"/>
      <w:jc w:val="both"/>
      <w:outlineLvl w:val="8"/>
    </w:pPr>
    <w:rPr>
      <w:b/>
      <w:sz w:val="36"/>
    </w:rPr>
  </w:style>
  <w:style w:type="character" w:styleId="DefaultParagraphFont" w:default="1">
    <w:name w:val="Default Paragraph Font"/>
    <w:uiPriority w:val="1"/>
    <w:semiHidden/>
    <w:unhideWhenUsed/>
    <w:qFormat/>
    <w:rPr/>
  </w:style>
  <w:style w:type="character" w:styleId="WW8Num2z0" w:customStyle="1">
    <w:name w:val="WW8Num2z0"/>
    <w:qFormat/>
    <w:rPr/>
  </w:style>
  <w:style w:type="character" w:styleId="WW8Num3z0" w:customStyle="1">
    <w:name w:val="WW8Num3z0"/>
    <w:qFormat/>
    <w:rPr>
      <w:b/>
    </w:rPr>
  </w:style>
  <w:style w:type="character" w:styleId="WW8Num4z0" w:customStyle="1">
    <w:name w:val="WW8Num4z0"/>
    <w:qFormat/>
    <w:rPr/>
  </w:style>
  <w:style w:type="character" w:styleId="WW8Num6z0" w:customStyle="1">
    <w:name w:val="WW8Num6z0"/>
    <w:qFormat/>
    <w:rPr>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2" w:customStyle="1">
    <w:name w:val="WW8Num8z2"/>
    <w:qFormat/>
    <w:rPr>
      <w:b/>
    </w:rPr>
  </w:style>
  <w:style w:type="character" w:styleId="WW8Num9z0" w:customStyle="1">
    <w:name w:val="WW8Num9z0"/>
    <w:qFormat/>
    <w:rPr/>
  </w:style>
  <w:style w:type="character" w:styleId="WW8Num12z0" w:customStyle="1">
    <w:name w:val="WW8Num12z0"/>
    <w:qFormat/>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9z0" w:customStyle="1">
    <w:name w:val="WW8Num19z0"/>
    <w:qFormat/>
    <w:rPr/>
  </w:style>
  <w:style w:type="character" w:styleId="WW8Num19z2" w:customStyle="1">
    <w:name w:val="WW8Num19z2"/>
    <w:qFormat/>
    <w:rPr>
      <w:b/>
    </w:rPr>
  </w:style>
  <w:style w:type="character" w:styleId="Fontepargpadro2" w:customStyle="1">
    <w:name w:val="Fonte parág. padrão2"/>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1" w:customStyle="1">
    <w:name w:val="Fonte parág. padrão1"/>
    <w:qFormat/>
    <w:rPr/>
  </w:style>
  <w:style w:type="character" w:styleId="Hyperlink">
    <w:name w:val="Hyperlink"/>
    <w:rPr>
      <w:color w:val="0000FF"/>
      <w:u w:val="single"/>
    </w:rPr>
  </w:style>
  <w:style w:type="character" w:styleId="TextodebaloChar" w:customStyle="1">
    <w:name w:val="Texto de balão Char"/>
    <w:qFormat/>
    <w:rPr>
      <w:rFonts w:ascii="Segoe UI" w:hAnsi="Segoe UI" w:cs="Segoe UI"/>
      <w:sz w:val="18"/>
      <w:szCs w:val="18"/>
      <w:lang w:eastAsia="zh-CN"/>
    </w:rPr>
  </w:style>
  <w:style w:type="character" w:styleId="Refdecomentrio1" w:customStyle="1">
    <w:name w:val="Ref. de comentário1"/>
    <w:qFormat/>
    <w:rPr>
      <w:sz w:val="16"/>
      <w:szCs w:val="16"/>
    </w:rPr>
  </w:style>
  <w:style w:type="character" w:styleId="TextodecomentrioChar" w:customStyle="1">
    <w:name w:val="Texto de comentário Char"/>
    <w:qFormat/>
    <w:rPr>
      <w:lang w:eastAsia="zh-CN"/>
    </w:rPr>
  </w:style>
  <w:style w:type="character" w:styleId="AssuntodocomentrioChar" w:customStyle="1">
    <w:name w:val="Assunto do comentário Char"/>
    <w:qFormat/>
    <w:rPr>
      <w:b/>
      <w:bCs/>
      <w:lang w:eastAsia="zh-CN"/>
    </w:rPr>
  </w:style>
  <w:style w:type="character" w:styleId="Recuodecorpodetexto3Char" w:customStyle="1">
    <w:name w:val="Recuo de corpo de texto 3 Char"/>
    <w:qFormat/>
    <w:rPr>
      <w:sz w:val="16"/>
      <w:szCs w:val="16"/>
      <w:lang w:eastAsia="zh-CN"/>
    </w:rPr>
  </w:style>
  <w:style w:type="character" w:styleId="MenoPendente" w:customStyle="1">
    <w:name w:val="Menção Pendente"/>
    <w:qFormat/>
    <w:rPr>
      <w:color w:val="605E5C"/>
      <w:shd w:fill="E1DFDD" w:val="clear"/>
    </w:rPr>
  </w:style>
  <w:style w:type="character" w:styleId="Strong">
    <w:name w:val="Strong"/>
    <w:uiPriority w:val="22"/>
    <w:qFormat/>
    <w:rPr>
      <w:b/>
      <w:bCs/>
    </w:rPr>
  </w:style>
  <w:style w:type="character" w:styleId="Emphasis">
    <w:name w:val="Emphasis"/>
    <w:qFormat/>
    <w:rPr>
      <w:i/>
      <w:iCs/>
    </w:rPr>
  </w:style>
  <w:style w:type="character" w:styleId="Ttulo5Char" w:customStyle="1">
    <w:name w:val="Título 5 Char"/>
    <w:qFormat/>
    <w:rPr>
      <w:b/>
      <w:sz w:val="22"/>
      <w:szCs w:val="22"/>
    </w:rPr>
  </w:style>
  <w:style w:type="character" w:styleId="Ttulo6Char" w:customStyle="1">
    <w:name w:val="Título 6 Char"/>
    <w:qFormat/>
    <w:rPr>
      <w:b/>
    </w:rPr>
  </w:style>
  <w:style w:type="character" w:styleId="CabealhoChar" w:customStyle="1">
    <w:name w:val="Cabeçalho Char"/>
    <w:qFormat/>
    <w:rPr>
      <w:lang w:eastAsia="zh-CN"/>
    </w:rPr>
  </w:style>
  <w:style w:type="character" w:styleId="RodapChar" w:customStyle="1">
    <w:name w:val="Rodapé Char"/>
    <w:qFormat/>
    <w:rPr>
      <w:rFonts w:ascii="Arial" w:hAnsi="Arial" w:cs="Arial"/>
      <w:sz w:val="24"/>
      <w:szCs w:val="24"/>
      <w:lang w:eastAsia="zh-CN"/>
    </w:rPr>
  </w:style>
  <w:style w:type="character" w:styleId="Ttulo9Char" w:customStyle="1">
    <w:name w:val="Título 9 Char"/>
    <w:qFormat/>
    <w:rPr>
      <w:b/>
      <w:sz w:val="36"/>
      <w:szCs w:val="24"/>
      <w:shd w:fill="F5F5F5" w:val="clear"/>
      <w:lang w:eastAsia="zh-CN"/>
    </w:rPr>
  </w:style>
  <w:style w:type="character" w:styleId="CorpodetextoChar" w:customStyle="1">
    <w:name w:val="Corpo de texto Char"/>
    <w:qFormat/>
    <w:rPr>
      <w:sz w:val="28"/>
      <w:lang w:eastAsia="zh-CN"/>
    </w:rPr>
  </w:style>
  <w:style w:type="character" w:styleId="RecuodecorpodetextoChar" w:customStyle="1">
    <w:name w:val="Recuo de corpo de texto Char"/>
    <w:qFormat/>
    <w:rPr>
      <w:rFonts w:ascii="Arial" w:hAnsi="Arial" w:cs="Arial"/>
      <w:b/>
      <w:sz w:val="24"/>
      <w:lang w:eastAsia="zh-CN"/>
    </w:rPr>
  </w:style>
  <w:style w:type="character" w:styleId="TtuloChar" w:customStyle="1">
    <w:name w:val="Título Char"/>
    <w:qFormat/>
    <w:rPr>
      <w:b/>
      <w:sz w:val="72"/>
      <w:szCs w:val="72"/>
    </w:rPr>
  </w:style>
  <w:style w:type="character" w:styleId="SubttuloChar" w:customStyle="1">
    <w:name w:val="Subtítulo Char"/>
    <w:qFormat/>
    <w:rPr>
      <w:rFonts w:ascii="Georgia" w:hAnsi="Georgia" w:eastAsia="Georgia" w:cs="Georgia"/>
      <w:i/>
      <w:color w:val="666666"/>
      <w:sz w:val="48"/>
      <w:szCs w:val="48"/>
    </w:rPr>
  </w:style>
  <w:style w:type="character" w:styleId="Ttulo1Char" w:customStyle="1">
    <w:name w:val="Título 1 Char"/>
    <w:basedOn w:val="DefaultParagraphFont"/>
    <w:link w:val="Ttulo11"/>
    <w:uiPriority w:val="1"/>
    <w:qFormat/>
    <w:rsid w:val="00655510"/>
    <w:rPr>
      <w:rFonts w:eastAsia="Arial" w:cs="Arial"/>
      <w:b/>
      <w:bCs/>
      <w:color w:val="00000A"/>
      <w:sz w:val="24"/>
      <w:szCs w:val="32"/>
      <w:lang w:eastAsia="en-US"/>
    </w:rPr>
  </w:style>
  <w:style w:type="character" w:styleId="Ttulo2Char" w:customStyle="1">
    <w:name w:val="Título 2 Char"/>
    <w:basedOn w:val="DefaultParagraphFont"/>
    <w:link w:val="Ttulo21"/>
    <w:uiPriority w:val="1"/>
    <w:qFormat/>
    <w:rsid w:val="00655510"/>
    <w:rPr>
      <w:rFonts w:eastAsia="Arial" w:cs="Arial"/>
      <w:bCs/>
      <w:sz w:val="24"/>
      <w:szCs w:val="22"/>
      <w:lang w:eastAsia="en-U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rPr>
  </w:style>
  <w:style w:type="paragraph" w:styleId="Caption11" w:customStyle="1">
    <w:name w:val="caption11"/>
    <w:basedOn w:val="Normal"/>
    <w:qFormat/>
    <w:pPr>
      <w:suppressLineNumbers/>
      <w:spacing w:before="120" w:after="120"/>
    </w:pPr>
    <w:rPr>
      <w:rFonts w:cs="Arial"/>
      <w:i/>
      <w:iCs/>
      <w:sz w:val="24"/>
    </w:rPr>
  </w:style>
  <w:style w:type="paragraph" w:styleId="Caption111" w:customStyle="1">
    <w:name w:val="caption111"/>
    <w:basedOn w:val="Normal"/>
    <w:qFormat/>
    <w:pPr>
      <w:suppressLineNumbers/>
      <w:spacing w:before="120" w:after="120"/>
    </w:pPr>
    <w:rPr>
      <w:rFonts w:cs="Mangal"/>
      <w:i/>
      <w:iCs/>
      <w:sz w:val="24"/>
    </w:rPr>
  </w:style>
  <w:style w:type="paragraph" w:styleId="Ttulo2" w:customStyle="1">
    <w:name w:val="Título2"/>
    <w:basedOn w:val="Normal1"/>
    <w:next w:val="BodyText"/>
    <w:qFormat/>
    <w:pPr>
      <w:keepNext w:val="true"/>
      <w:keepLines/>
      <w:spacing w:before="480" w:after="120"/>
    </w:pPr>
    <w:rPr>
      <w:b/>
      <w:sz w:val="72"/>
      <w:szCs w:val="72"/>
    </w:rPr>
  </w:style>
  <w:style w:type="paragraph" w:styleId="Normal1" w:customStyle="1">
    <w:name w:val="Normal1"/>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customStyle="1">
    <w:name w:val="Título1"/>
    <w:basedOn w:val="Normal"/>
    <w:next w:val="BodyText"/>
    <w:qFormat/>
    <w:pPr>
      <w:keepNext w:val="true"/>
      <w:spacing w:before="240" w:after="120"/>
    </w:pPr>
    <w:rPr>
      <w:rFonts w:ascii="Liberation Sans" w:hAnsi="Liberation Sans" w:eastAsia="Microsoft YaHei" w:cs="Mangal"/>
      <w:sz w:val="28"/>
      <w:szCs w:val="28"/>
    </w:rPr>
  </w:style>
  <w:style w:type="paragraph" w:styleId="Padro" w:customStyle="1">
    <w:name w:val="Padrão"/>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pt-BR" w:eastAsia="zh-CN" w:bidi="ar-SA"/>
    </w:rPr>
  </w:style>
  <w:style w:type="paragraph" w:styleId="BodyTextIndent">
    <w:name w:val="Body Text Indent"/>
    <w:basedOn w:val="Normal"/>
    <w:pPr>
      <w:spacing w:lineRule="exact" w:line="240" w:before="120" w:after="0"/>
      <w:jc w:val="both"/>
    </w:pPr>
    <w:rPr>
      <w:rFonts w:ascii="Arial" w:hAnsi="Arial" w:cs="Arial"/>
      <w:b/>
      <w:sz w:val="24"/>
      <w:szCs w:val="20"/>
    </w:rPr>
  </w:style>
  <w:style w:type="paragraph" w:styleId="Recuodecorpodetexto31" w:customStyle="1">
    <w:name w:val="Recuo de corpo de texto 31"/>
    <w:basedOn w:val="Normal"/>
    <w:qFormat/>
    <w:pPr>
      <w:ind w:firstLine="1418"/>
      <w:jc w:val="both"/>
    </w:pPr>
    <w:rPr>
      <w:rFonts w:ascii="Arial" w:hAnsi="Arial" w:cs="Arial"/>
      <w:sz w:val="24"/>
      <w:szCs w:val="20"/>
    </w:rPr>
  </w:style>
  <w:style w:type="paragraph" w:styleId="CabealhoeRodap" w:customStyle="1">
    <w:name w:val="Cabeçalho e Rodapé"/>
    <w:basedOn w:val="Normal"/>
    <w:qFormat/>
    <w:pPr>
      <w:widowControl w:val="false"/>
    </w:pPr>
    <w:rPr>
      <w:sz w:val="24"/>
    </w:rPr>
  </w:style>
  <w:style w:type="paragraph" w:styleId="Footer">
    <w:name w:val="Footer"/>
    <w:basedOn w:val="Normal"/>
    <w:pPr>
      <w:tabs>
        <w:tab w:val="clear" w:pos="708"/>
        <w:tab w:val="center" w:pos="4419" w:leader="none"/>
        <w:tab w:val="right" w:pos="8838" w:leader="none"/>
      </w:tabs>
    </w:pPr>
    <w:rPr>
      <w:rFonts w:ascii="Arial" w:hAnsi="Arial" w:cs="Arial"/>
      <w:sz w:val="24"/>
    </w:rPr>
  </w:style>
  <w:style w:type="paragraph" w:styleId="Header">
    <w:name w:val="Header"/>
    <w:basedOn w:val="Normal"/>
    <w:pPr>
      <w:tabs>
        <w:tab w:val="clear" w:pos="708"/>
        <w:tab w:val="center" w:pos="4320" w:leader="none"/>
        <w:tab w:val="right" w:pos="8640" w:leader="none"/>
      </w:tabs>
    </w:pPr>
    <w:rPr>
      <w:sz w:val="20"/>
      <w:szCs w:val="20"/>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pt-BR" w:eastAsia="zh-CN" w:bidi="ar-SA"/>
    </w:rPr>
  </w:style>
  <w:style w:type="paragraph" w:styleId="Contedodatabela" w:customStyle="1">
    <w:name w:val="Conteúdo da tabela"/>
    <w:basedOn w:val="Standard"/>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paragraph" w:styleId="BalloonText">
    <w:name w:val="Balloon Text"/>
    <w:basedOn w:val="Normal"/>
    <w:qFormat/>
    <w:pPr/>
    <w:rPr>
      <w:rFonts w:ascii="Segoe UI" w:hAnsi="Segoe UI" w:cs="Segoe UI"/>
      <w:sz w:val="18"/>
      <w:szCs w:val="18"/>
    </w:rPr>
  </w:style>
  <w:style w:type="paragraph" w:styleId="Recuodecorpodetexto21" w:customStyle="1">
    <w:name w:val="Recuo de corpo de texto 21"/>
    <w:basedOn w:val="Normal"/>
    <w:qFormat/>
    <w:pPr>
      <w:ind w:firstLine="1440" w:right="-702"/>
      <w:jc w:val="both"/>
    </w:pPr>
    <w:rPr>
      <w:b/>
      <w:bCs/>
      <w:sz w:val="28"/>
    </w:rPr>
  </w:style>
  <w:style w:type="paragraph" w:styleId="Textodecomentrio1" w:customStyle="1">
    <w:name w:val="Texto de comentário1"/>
    <w:basedOn w:val="Normal"/>
    <w:qFormat/>
    <w:pPr/>
    <w:rPr>
      <w:sz w:val="20"/>
      <w:szCs w:val="20"/>
    </w:rPr>
  </w:style>
  <w:style w:type="paragraph" w:styleId="Annotationsubject">
    <w:name w:val="annotation subject"/>
    <w:basedOn w:val="Textodecomentrio1"/>
    <w:next w:val="Textodecomentrio1"/>
    <w:qFormat/>
    <w:pPr/>
    <w:rPr>
      <w:b/>
      <w:bCs/>
    </w:rPr>
  </w:style>
  <w:style w:type="paragraph" w:styleId="Recuodecorpodetexto32" w:customStyle="1">
    <w:name w:val="Recuo de corpo de texto 32"/>
    <w:basedOn w:val="Normal"/>
    <w:qFormat/>
    <w:pPr>
      <w:spacing w:before="0" w:after="120"/>
      <w:ind w:left="283"/>
    </w:pPr>
    <w:rPr>
      <w:sz w:val="16"/>
      <w:szCs w:val="16"/>
    </w:rPr>
  </w:style>
  <w:style w:type="paragraph" w:styleId="Corpodetexto31" w:customStyle="1">
    <w:name w:val="Corpo de texto 31"/>
    <w:basedOn w:val="Normal"/>
    <w:qFormat/>
    <w:pPr>
      <w:spacing w:before="0" w:after="120"/>
    </w:pPr>
    <w:rPr>
      <w:sz w:val="16"/>
      <w:szCs w:val="16"/>
    </w:rPr>
  </w:style>
  <w:style w:type="paragraph" w:styleId="NormalWeb">
    <w:name w:val="Normal (Web)"/>
    <w:basedOn w:val="Normal"/>
    <w:uiPriority w:val="99"/>
    <w:qFormat/>
    <w:pPr>
      <w:suppressAutoHyphens w:val="false"/>
      <w:spacing w:before="280" w:after="280"/>
    </w:pPr>
    <w:rPr/>
  </w:style>
  <w:style w:type="paragraph" w:styleId="ListParagraph">
    <w:name w:val="List Paragraph"/>
    <w:basedOn w:val="Normal"/>
    <w:uiPriority w:val="34"/>
    <w:qFormat/>
    <w:pPr>
      <w:suppressAutoHyphens w:val="false"/>
      <w:spacing w:before="0" w:after="0"/>
      <w:ind w:left="720"/>
      <w:contextualSpacing/>
      <w:jc w:val="both"/>
    </w:pPr>
    <w:rPr>
      <w:szCs w:val="20"/>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Arial"/>
      <w:color w:val="auto"/>
      <w:kern w:val="2"/>
      <w:sz w:val="24"/>
      <w:szCs w:val="24"/>
      <w:lang w:val="pt-BR" w:eastAsia="zh-CN" w:bidi="hi-IN"/>
    </w:rPr>
  </w:style>
  <w:style w:type="paragraph" w:styleId="TableParagraph" w:customStyle="1">
    <w:name w:val="Table Paragraph"/>
    <w:basedOn w:val="Normal"/>
    <w:qFormat/>
    <w:pPr>
      <w:widowControl w:val="false"/>
      <w:suppressAutoHyphens w:val="false"/>
    </w:pPr>
    <w:rPr>
      <w:sz w:val="22"/>
      <w:szCs w:val="22"/>
      <w:lang w:val="pt-PT"/>
    </w:rPr>
  </w:style>
  <w:style w:type="paragraph" w:styleId="Textoprformatado" w:customStyle="1">
    <w:name w:val="Texto préformatado"/>
    <w:basedOn w:val="Normal"/>
    <w:qFormat/>
    <w:pPr/>
    <w:rPr>
      <w:rFonts w:ascii="Liberation Mono" w:hAnsi="Liberation Mono" w:eastAsia="NSimSun" w:cs="Liberation Mono"/>
      <w:kern w:val="2"/>
      <w:sz w:val="20"/>
      <w:szCs w:val="20"/>
      <w:lang w:bidi="hi-IN"/>
    </w:rPr>
  </w:style>
  <w:style w:type="paragraph" w:styleId="Z-TopofForm" w:customStyle="1">
    <w:name w:val="z-Top of Form"/>
    <w:next w:val="Standard"/>
    <w:qFormat/>
    <w:pPr>
      <w:widowControl/>
      <w:suppressAutoHyphens w:val="true"/>
      <w:bidi w:val="0"/>
      <w:spacing w:before="0" w:after="0"/>
      <w:jc w:val="center"/>
      <w:textAlignment w:val="baseline"/>
    </w:pPr>
    <w:rPr>
      <w:rFonts w:ascii="Arial" w:hAnsi="Arial" w:eastAsia="Arial" w:cs="Courier New"/>
      <w:vanish/>
      <w:color w:val="auto"/>
      <w:kern w:val="2"/>
      <w:sz w:val="16"/>
      <w:szCs w:val="24"/>
      <w:lang w:val="pt-BR" w:eastAsia="zh-CN" w:bidi="hi-IN"/>
    </w:rPr>
  </w:style>
  <w:style w:type="paragraph" w:styleId="PargrafodaLista1" w:customStyle="1">
    <w:name w:val="Parágrafo da Lista1"/>
    <w:basedOn w:val="Normal"/>
    <w:qFormat/>
    <w:pPr>
      <w:ind w:hanging="362" w:left="839"/>
    </w:pPr>
    <w:rPr>
      <w:rFonts w:ascii="Liberation Serif" w:hAnsi="Liberation Serif" w:eastAsia="SimSun" w:cs="Mangal"/>
      <w:kern w:val="2"/>
      <w:sz w:val="24"/>
      <w:lang w:bidi="hi-IN"/>
    </w:rPr>
  </w:style>
  <w:style w:type="paragraph" w:styleId="Subtitle">
    <w:name w:val="Subtitle"/>
    <w:basedOn w:val="Normal1"/>
    <w:next w:val="Normal1"/>
    <w:qFormat/>
    <w:pPr>
      <w:keepNext w:val="true"/>
      <w:keepLines/>
      <w:spacing w:before="360" w:after="80"/>
    </w:pPr>
    <w:rPr>
      <w:rFonts w:ascii="Georgia" w:hAnsi="Georgia" w:eastAsia="Georgia" w:cs="Georgia"/>
      <w:i/>
      <w:color w:val="666666"/>
      <w:sz w:val="48"/>
      <w:szCs w:val="48"/>
    </w:rPr>
  </w:style>
  <w:style w:type="paragraph" w:styleId="Ttulo11" w:customStyle="1">
    <w:name w:val="Título 11"/>
    <w:basedOn w:val="Normal"/>
    <w:link w:val="Ttulo1Char"/>
    <w:uiPriority w:val="1"/>
    <w:qFormat/>
    <w:rsid w:val="00655510"/>
    <w:pPr>
      <w:widowControl w:val="false"/>
      <w:spacing w:before="9" w:after="0"/>
      <w:ind w:left="2" w:right="3"/>
      <w:outlineLvl w:val="0"/>
    </w:pPr>
    <w:rPr>
      <w:rFonts w:eastAsia="Arial" w:cs="Arial"/>
      <w:b/>
      <w:bCs/>
      <w:color w:val="00000A"/>
      <w:sz w:val="24"/>
      <w:szCs w:val="32"/>
      <w:lang w:eastAsia="en-US"/>
    </w:rPr>
  </w:style>
  <w:style w:type="paragraph" w:styleId="Ttulo21" w:customStyle="1">
    <w:name w:val="Título 21"/>
    <w:basedOn w:val="Normal"/>
    <w:link w:val="Ttulo2Char"/>
    <w:autoRedefine/>
    <w:uiPriority w:val="1"/>
    <w:qFormat/>
    <w:rsid w:val="00655510"/>
    <w:pPr>
      <w:widowControl w:val="false"/>
      <w:spacing w:lineRule="auto" w:line="360"/>
      <w:jc w:val="both"/>
      <w:outlineLvl w:val="1"/>
    </w:pPr>
    <w:rPr>
      <w:rFonts w:eastAsia="Arial" w:cs="Arial"/>
      <w:bCs/>
      <w:sz w:val="24"/>
      <w:szCs w:val="22"/>
      <w:lang w:eastAsia="en-US"/>
    </w:rPr>
  </w:style>
  <w:style w:type="paragraph" w:styleId="Ds-markdown-paragraph" w:customStyle="1">
    <w:name w:val="ds-markdown-paragraph"/>
    <w:basedOn w:val="Normal"/>
    <w:qFormat/>
    <w:rsid w:val="00362bc2"/>
    <w:pPr>
      <w:suppressAutoHyphens w:val="false"/>
      <w:spacing w:beforeAutospacing="1" w:afterAutospacing="1"/>
    </w:pPr>
    <w:rPr>
      <w:sz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gaobanrisul.com.br/" TargetMode="External"/><Relationship Id="rId3" Type="http://schemas.openxmlformats.org/officeDocument/2006/relationships/hyperlink" Target="http://www.pregaobanrisul.com.br/" TargetMode="External"/><Relationship Id="rId4" Type="http://schemas.openxmlformats.org/officeDocument/2006/relationships/hyperlink" Target="http://www.pregaobanrisul.com.br/" TargetMode="External"/><Relationship Id="rId5" Type="http://schemas.openxmlformats.org/officeDocument/2006/relationships/hyperlink" Target="https://www.planalto.gov.br/ccivil_03/leis/lcp/lcp123.htm" TargetMode="External"/><Relationship Id="rId6" Type="http://schemas.openxmlformats.org/officeDocument/2006/relationships/hyperlink" Target="http://www.planalto.gov.br/ccivil_03/_ato2019-2022/2021/lei/L14133.htm" TargetMode="External"/><Relationship Id="rId7" Type="http://schemas.openxmlformats.org/officeDocument/2006/relationships/hyperlink" Target="https://pregaobanrisul.com.br/" TargetMode="External"/><Relationship Id="rId8" Type="http://schemas.openxmlformats.org/officeDocument/2006/relationships/hyperlink" Target="https://pregaobanrisul.com.br/" TargetMode="External"/><Relationship Id="rId9" Type="http://schemas.openxmlformats.org/officeDocument/2006/relationships/hyperlink" Target="https://www.pregaobanrisul.com.br/" TargetMode="External"/><Relationship Id="rId10" Type="http://schemas.openxmlformats.org/officeDocument/2006/relationships/hyperlink" Target="https://www.cacapavadosul.rs.gov.br/" TargetMode="External"/><Relationship Id="rId11" Type="http://schemas.openxmlformats.org/officeDocument/2006/relationships/hyperlink" Target="https://www.portaltransparencia.gov.br/sancoes/ceis" TargetMode="External"/><Relationship Id="rId12" Type="http://schemas.openxmlformats.org/officeDocument/2006/relationships/hyperlink" Target="https://www.portaltransparencia.gov.br/sancoes/cne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1B7CD-7988-4191-B6CF-DF660CCC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LibreOffice/7.6.0.3$Windows_X86_64 LibreOffice_project/69edd8b8ebc41d00b4de3915dc82f8f0fc3b6265</Application>
  <AppVersion>15.0000</AppVersion>
  <Pages>33</Pages>
  <Words>11817</Words>
  <Characters>67904</Characters>
  <CharactersWithSpaces>79757</CharactersWithSpaces>
  <Paragraphs>558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2026-01-12T13:23:00Z</dcterms:created>
  <dc:creator>pclicita01</dc:creator>
  <dc:description/>
  <dc:language>pt-BR</dc:language>
  <cp:lastModifiedBy/>
  <dcterms:modified xsi:type="dcterms:W3CDTF">2026-02-02T11:43:00Z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